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3B" w:rsidRDefault="0038650F">
      <w:pPr>
        <w:widowControl/>
        <w:spacing w:afterLines="0" w:line="240" w:lineRule="auto"/>
        <w:jc w:val="center"/>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hint="eastAsia"/>
          <w:color w:val="000000"/>
          <w:kern w:val="0"/>
          <w:sz w:val="36"/>
          <w:szCs w:val="36"/>
        </w:rPr>
        <w:t>上城区存量工业用地改造提升实施办法（试行）</w:t>
      </w:r>
    </w:p>
    <w:p w:rsidR="00ED613B" w:rsidRDefault="0038650F">
      <w:pPr>
        <w:widowControl/>
        <w:spacing w:afterLines="0" w:line="240" w:lineRule="auto"/>
        <w:jc w:val="center"/>
        <w:rPr>
          <w:sz w:val="36"/>
          <w:szCs w:val="36"/>
        </w:rPr>
      </w:pPr>
      <w:r>
        <w:rPr>
          <w:rFonts w:ascii="方正小标宋简体" w:eastAsia="方正小标宋简体" w:hAnsi="方正小标宋简体" w:cs="方正小标宋简体" w:hint="eastAsia"/>
          <w:color w:val="000000"/>
          <w:kern w:val="0"/>
          <w:sz w:val="36"/>
          <w:szCs w:val="36"/>
        </w:rPr>
        <w:t>（</w:t>
      </w:r>
      <w:r w:rsidR="002A1080">
        <w:rPr>
          <w:rFonts w:ascii="方正小标宋简体" w:eastAsia="方正小标宋简体" w:hAnsi="方正小标宋简体" w:cs="方正小标宋简体" w:hint="eastAsia"/>
          <w:color w:val="000000"/>
          <w:kern w:val="0"/>
          <w:sz w:val="36"/>
          <w:szCs w:val="36"/>
        </w:rPr>
        <w:t>征求意见</w:t>
      </w:r>
      <w:r>
        <w:rPr>
          <w:rFonts w:ascii="方正小标宋简体" w:eastAsia="方正小标宋简体" w:hAnsi="方正小标宋简体" w:cs="方正小标宋简体" w:hint="eastAsia"/>
          <w:color w:val="000000"/>
          <w:kern w:val="0"/>
          <w:sz w:val="36"/>
          <w:szCs w:val="36"/>
        </w:rPr>
        <w:t>稿）</w:t>
      </w:r>
    </w:p>
    <w:p w:rsidR="00ED613B" w:rsidRDefault="00ED613B">
      <w:pPr>
        <w:widowControl/>
        <w:spacing w:afterLines="0" w:line="240" w:lineRule="auto"/>
        <w:rPr>
          <w:rFonts w:ascii="黑体" w:eastAsia="黑体" w:hAnsi="宋体" w:cs="黑体"/>
          <w:color w:val="000000"/>
          <w:kern w:val="0"/>
          <w:sz w:val="32"/>
          <w:szCs w:val="32"/>
        </w:rPr>
      </w:pPr>
    </w:p>
    <w:p w:rsidR="00ED613B" w:rsidRDefault="0038650F">
      <w:pPr>
        <w:spacing w:afterLines="0" w:line="240" w:lineRule="auto"/>
        <w:ind w:firstLineChars="200" w:firstLine="640"/>
        <w:rPr>
          <w:sz w:val="32"/>
          <w:szCs w:val="32"/>
        </w:rPr>
      </w:pPr>
      <w:r>
        <w:rPr>
          <w:rFonts w:ascii="仿宋_GB2312" w:eastAsia="仿宋_GB2312" w:hAnsi="宋体" w:cs="仿宋_GB2312" w:hint="eastAsia"/>
          <w:color w:val="000000"/>
          <w:kern w:val="0"/>
          <w:sz w:val="32"/>
          <w:szCs w:val="32"/>
        </w:rPr>
        <w:t>为进一步贯彻落实全省新一轮制造业“腾笼换鸟、凤凰涅槃”攻坚行动和区“新制造业计划”，完善存量工业用地保护和利用机制，盘活低效工业用地，促进区内存量工业用地资源的高效集约利用，确保制造业转型升级和高质量发展，现根据</w:t>
      </w:r>
      <w:r>
        <w:rPr>
          <w:rFonts w:ascii="仿宋_GB2312" w:eastAsia="仿宋_GB2312" w:hAnsi="inherit" w:hint="eastAsia"/>
          <w:color w:val="000000"/>
          <w:sz w:val="32"/>
          <w:szCs w:val="32"/>
        </w:rPr>
        <w:t>《市委市政府关于实施“新制造业计划”推进高质量发展的若干意见》（市委〔2019〕17号）、</w:t>
      </w:r>
      <w:r>
        <w:rPr>
          <w:rFonts w:ascii="仿宋_GB2312" w:eastAsia="仿宋_GB2312" w:hAnsi="inherit" w:hint="eastAsia"/>
          <w:sz w:val="32"/>
          <w:szCs w:val="32"/>
        </w:rPr>
        <w:t>《</w:t>
      </w:r>
      <w:r>
        <w:rPr>
          <w:rFonts w:ascii="仿宋_GB2312" w:eastAsia="仿宋_GB2312" w:hAnsi="宋体" w:hint="eastAsia"/>
          <w:sz w:val="32"/>
          <w:szCs w:val="32"/>
        </w:rPr>
        <w:t>关于印发工业用地集约利用审批操作细则的通知》（杭节地办〔2021〕1号）等相关</w:t>
      </w:r>
      <w:r>
        <w:rPr>
          <w:rFonts w:ascii="仿宋_GB2312" w:eastAsia="仿宋_GB2312" w:hAnsi="宋体" w:cs="仿宋_GB2312" w:hint="eastAsia"/>
          <w:color w:val="000000"/>
          <w:kern w:val="0"/>
          <w:sz w:val="32"/>
          <w:szCs w:val="32"/>
        </w:rPr>
        <w:t xml:space="preserve">规定，特制定本实施办法。 </w:t>
      </w:r>
    </w:p>
    <w:p w:rsidR="00ED613B" w:rsidRDefault="0038650F">
      <w:pPr>
        <w:widowControl/>
        <w:spacing w:afterLines="0" w:line="240" w:lineRule="auto"/>
        <w:ind w:firstLineChars="200" w:firstLine="640"/>
        <w:rPr>
          <w:rFonts w:ascii="黑体" w:eastAsia="黑体" w:hAnsi="宋体" w:cs="黑体"/>
          <w:color w:val="000000"/>
          <w:kern w:val="0"/>
          <w:sz w:val="32"/>
          <w:szCs w:val="32"/>
        </w:rPr>
      </w:pPr>
      <w:r>
        <w:rPr>
          <w:rFonts w:ascii="黑体" w:eastAsia="黑体" w:hAnsi="宋体" w:cs="黑体" w:hint="eastAsia"/>
          <w:color w:val="000000"/>
          <w:kern w:val="0"/>
          <w:sz w:val="32"/>
          <w:szCs w:val="32"/>
        </w:rPr>
        <w:t>一、基本原则</w:t>
      </w:r>
    </w:p>
    <w:p w:rsidR="00ED613B" w:rsidRDefault="0038650F">
      <w:pPr>
        <w:widowControl/>
        <w:spacing w:afterLines="0" w:line="240" w:lineRule="auto"/>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严格落实“工业姓工”的</w:t>
      </w:r>
      <w:r>
        <w:rPr>
          <w:rFonts w:ascii="仿宋_GB2312" w:eastAsia="仿宋_GB2312" w:hAnsi="宋体" w:cs="仿宋_GB2312" w:hint="eastAsia"/>
          <w:b/>
          <w:color w:val="000000"/>
          <w:kern w:val="0"/>
          <w:sz w:val="32"/>
          <w:szCs w:val="32"/>
        </w:rPr>
        <w:t>总原则</w:t>
      </w:r>
      <w:r>
        <w:rPr>
          <w:rFonts w:ascii="仿宋_GB2312" w:eastAsia="仿宋_GB2312" w:hAnsi="宋体" w:cs="仿宋_GB2312" w:hint="eastAsia"/>
          <w:color w:val="000000"/>
          <w:kern w:val="0"/>
          <w:sz w:val="32"/>
          <w:szCs w:val="32"/>
        </w:rPr>
        <w:t>和“清低效、促提升”的</w:t>
      </w:r>
      <w:r>
        <w:rPr>
          <w:rFonts w:ascii="仿宋_GB2312" w:eastAsia="仿宋_GB2312" w:hAnsi="宋体" w:cs="仿宋_GB2312" w:hint="eastAsia"/>
          <w:b/>
          <w:color w:val="000000"/>
          <w:kern w:val="0"/>
          <w:sz w:val="32"/>
          <w:szCs w:val="32"/>
        </w:rPr>
        <w:t>基本原则</w:t>
      </w:r>
      <w:r>
        <w:rPr>
          <w:rFonts w:ascii="仿宋_GB2312" w:eastAsia="仿宋_GB2312" w:hAnsi="宋体" w:cs="仿宋_GB2312" w:hint="eastAsia"/>
          <w:color w:val="000000"/>
          <w:kern w:val="0"/>
          <w:sz w:val="32"/>
          <w:szCs w:val="32"/>
        </w:rPr>
        <w:t>，全面实施“严格把关、分类实施、聚焦产业、提质增效”基本策略。</w:t>
      </w:r>
    </w:p>
    <w:p w:rsidR="00ED613B" w:rsidRDefault="0038650F" w:rsidP="00BB0B10">
      <w:pPr>
        <w:widowControl/>
        <w:spacing w:afterLines="0" w:line="240" w:lineRule="auto"/>
        <w:ind w:firstLineChars="200" w:firstLine="643"/>
        <w:rPr>
          <w:rFonts w:ascii="仿宋_GB2312" w:eastAsia="仿宋_GB2312" w:hAnsi="宋体" w:cs="仿宋_GB2312"/>
          <w:color w:val="000000"/>
          <w:kern w:val="0"/>
          <w:sz w:val="32"/>
          <w:szCs w:val="32"/>
        </w:rPr>
      </w:pPr>
      <w:r>
        <w:rPr>
          <w:rFonts w:ascii="仿宋_GB2312" w:eastAsia="仿宋_GB2312" w:hAnsi="宋体" w:cs="仿宋_GB2312" w:hint="eastAsia"/>
          <w:b/>
          <w:color w:val="000000"/>
          <w:kern w:val="0"/>
          <w:sz w:val="32"/>
          <w:szCs w:val="32"/>
        </w:rPr>
        <w:t>清低效：</w:t>
      </w:r>
      <w:r>
        <w:rPr>
          <w:rFonts w:ascii="仿宋_GB2312" w:eastAsia="仿宋_GB2312" w:hAnsi="宋体" w:cs="仿宋_GB2312" w:hint="eastAsia"/>
          <w:color w:val="000000"/>
          <w:kern w:val="0"/>
          <w:sz w:val="32"/>
          <w:szCs w:val="32"/>
        </w:rPr>
        <w:t>针对全区亩均税收30万元以下的存量工业用地，通过倒逼机制来推动企业实施转型升级或实施用地收回，确保低效用地有一清一。</w:t>
      </w:r>
    </w:p>
    <w:p w:rsidR="00ED613B" w:rsidRDefault="0038650F" w:rsidP="00BB0B10">
      <w:pPr>
        <w:widowControl/>
        <w:spacing w:afterLines="0" w:line="240" w:lineRule="auto"/>
        <w:ind w:firstLineChars="200" w:firstLine="643"/>
        <w:rPr>
          <w:rFonts w:ascii="仿宋_GB2312" w:eastAsia="仿宋_GB2312" w:hAnsi="宋体" w:cs="仿宋_GB2312"/>
          <w:color w:val="000000"/>
          <w:kern w:val="0"/>
          <w:sz w:val="32"/>
          <w:szCs w:val="32"/>
        </w:rPr>
      </w:pPr>
      <w:r>
        <w:rPr>
          <w:rFonts w:ascii="仿宋_GB2312" w:eastAsia="仿宋_GB2312" w:hAnsi="宋体" w:cs="仿宋_GB2312" w:hint="eastAsia"/>
          <w:b/>
          <w:color w:val="000000"/>
          <w:kern w:val="0"/>
          <w:sz w:val="32"/>
          <w:szCs w:val="32"/>
        </w:rPr>
        <w:t>促提升：</w:t>
      </w:r>
      <w:r>
        <w:rPr>
          <w:rFonts w:ascii="仿宋_GB2312" w:eastAsia="仿宋_GB2312" w:hAnsi="宋体" w:cs="仿宋_GB2312" w:hint="eastAsia"/>
          <w:color w:val="000000"/>
          <w:kern w:val="0"/>
          <w:sz w:val="32"/>
          <w:szCs w:val="32"/>
        </w:rPr>
        <w:t>针对有提升需求的企业，应从项目前期入手严格把关，加强改造提升的过程和后期的履约监管，确保项目实现投资强度、亩均税收等各项指标要求，全面推动制造业高质量发展。</w:t>
      </w:r>
    </w:p>
    <w:p w:rsidR="00ED613B" w:rsidRDefault="0038650F">
      <w:pPr>
        <w:widowControl/>
        <w:spacing w:afterLines="0" w:line="240" w:lineRule="auto"/>
        <w:ind w:firstLineChars="200" w:firstLine="640"/>
        <w:rPr>
          <w:rFonts w:ascii="黑体" w:eastAsia="黑体" w:hAnsi="宋体" w:cs="黑体"/>
          <w:color w:val="000000"/>
          <w:kern w:val="0"/>
          <w:sz w:val="32"/>
          <w:szCs w:val="32"/>
        </w:rPr>
      </w:pPr>
      <w:r>
        <w:rPr>
          <w:rFonts w:ascii="黑体" w:eastAsia="黑体" w:hAnsi="宋体" w:cs="黑体" w:hint="eastAsia"/>
          <w:color w:val="000000"/>
          <w:kern w:val="0"/>
          <w:sz w:val="32"/>
          <w:szCs w:val="32"/>
        </w:rPr>
        <w:t>二、工作机制</w:t>
      </w:r>
    </w:p>
    <w:p w:rsidR="00ED613B" w:rsidRDefault="0038650F">
      <w:pPr>
        <w:widowControl/>
        <w:spacing w:afterLines="0" w:line="240" w:lineRule="auto"/>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lastRenderedPageBreak/>
        <w:t>为强化存量工业用地项目产业统筹，形成全区存量工业用地“一盘棋”的工作机制，本项工作在区“新制造业计划”领导小组的统一领导下组织实施，领导小组下设办公室（在区发改经信局，以下简称“新制造业计划”办），负责领导小组综合管理、协调等日常工作，领导小组各成员单位按本实施办法内容和要求开展日常工作。</w:t>
      </w:r>
    </w:p>
    <w:p w:rsidR="00ED613B" w:rsidRDefault="0038650F">
      <w:pPr>
        <w:widowControl/>
        <w:spacing w:afterLines="0" w:line="240" w:lineRule="auto"/>
        <w:ind w:firstLineChars="200" w:firstLine="640"/>
        <w:rPr>
          <w:sz w:val="32"/>
          <w:szCs w:val="32"/>
        </w:rPr>
      </w:pPr>
      <w:r>
        <w:rPr>
          <w:rFonts w:ascii="黑体" w:eastAsia="黑体" w:hAnsi="宋体" w:cs="黑体" w:hint="eastAsia"/>
          <w:color w:val="000000"/>
          <w:kern w:val="0"/>
          <w:sz w:val="32"/>
          <w:szCs w:val="32"/>
        </w:rPr>
        <w:t xml:space="preserve">三、适用范围 </w:t>
      </w:r>
    </w:p>
    <w:p w:rsidR="00ED613B" w:rsidRDefault="0038650F">
      <w:pPr>
        <w:widowControl/>
        <w:spacing w:afterLines="0" w:line="240" w:lineRule="auto"/>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本操作流程适用区内存量工业用地（不含创新型用地）上的工业企业，在既有用地范围内因产能扩大升级、产业有机更新、低效整治等原因，需突破规划条件实施（含不涉及控规局部调整和突破控规调整且涉及控规局部调整）的拆除重建、改扩建项目。</w:t>
      </w:r>
    </w:p>
    <w:p w:rsidR="00ED613B" w:rsidRDefault="0038650F">
      <w:pPr>
        <w:widowControl/>
        <w:spacing w:afterLines="0" w:line="240" w:lineRule="auto"/>
        <w:ind w:firstLineChars="200" w:firstLine="640"/>
        <w:rPr>
          <w:rFonts w:ascii="黑体" w:eastAsia="黑体" w:hAnsi="宋体" w:cs="黑体"/>
          <w:color w:val="000000"/>
          <w:kern w:val="0"/>
          <w:sz w:val="32"/>
          <w:szCs w:val="32"/>
        </w:rPr>
      </w:pPr>
      <w:r>
        <w:rPr>
          <w:rFonts w:ascii="黑体" w:eastAsia="黑体" w:hAnsi="宋体" w:cs="黑体" w:hint="eastAsia"/>
          <w:color w:val="000000"/>
          <w:kern w:val="0"/>
          <w:sz w:val="32"/>
          <w:szCs w:val="32"/>
        </w:rPr>
        <w:t>四、条件标准</w:t>
      </w:r>
    </w:p>
    <w:p w:rsidR="00ED613B" w:rsidRDefault="0038650F">
      <w:pPr>
        <w:widowControl/>
        <w:spacing w:afterLines="0" w:line="240" w:lineRule="auto"/>
        <w:ind w:firstLineChars="200" w:firstLine="640"/>
        <w:rPr>
          <w:rFonts w:ascii="楷体_GB2312" w:eastAsia="楷体_GB2312" w:hAnsi="楷体" w:cs="楷体"/>
          <w:color w:val="000000"/>
          <w:kern w:val="0"/>
          <w:sz w:val="32"/>
          <w:szCs w:val="32"/>
        </w:rPr>
      </w:pPr>
      <w:r>
        <w:rPr>
          <w:rFonts w:ascii="楷体_GB2312" w:eastAsia="楷体_GB2312" w:hAnsi="楷体" w:cs="楷体" w:hint="eastAsia"/>
          <w:color w:val="000000"/>
          <w:kern w:val="0"/>
          <w:sz w:val="32"/>
          <w:szCs w:val="32"/>
        </w:rPr>
        <w:t>（一）产业要求</w:t>
      </w:r>
    </w:p>
    <w:p w:rsidR="00ED613B" w:rsidRDefault="0038650F">
      <w:pPr>
        <w:widowControl/>
        <w:spacing w:afterLines="0" w:line="240" w:lineRule="auto"/>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打造或引入的产业需符合杭州市产业导向目录，及全区和项目所在街道、园区（平台）产业导向需求，以制造业为主，生产性服务业（研发与设计服务、信息技术服务、电子商务支持服务、节能与环保服务、组织管理和综合管理服务）、制造业产品销售和售后服务等产业链相关项目为辅；严禁经营类（包括：零售、餐饮、宾馆、住宿、休闲娱乐等）相关业态；原则上提升项目的工业产业类型应符合该产权地块的工业用地类型。</w:t>
      </w:r>
    </w:p>
    <w:p w:rsidR="00ED613B" w:rsidRDefault="0038650F">
      <w:pPr>
        <w:widowControl/>
        <w:spacing w:afterLines="0" w:line="240" w:lineRule="auto"/>
        <w:ind w:firstLineChars="200" w:firstLine="640"/>
        <w:rPr>
          <w:rFonts w:ascii="楷体_GB2312" w:eastAsia="楷体_GB2312" w:hAnsi="楷体" w:cs="楷体"/>
          <w:color w:val="000000"/>
          <w:kern w:val="0"/>
          <w:sz w:val="32"/>
          <w:szCs w:val="32"/>
        </w:rPr>
      </w:pPr>
      <w:r>
        <w:rPr>
          <w:rFonts w:ascii="楷体_GB2312" w:eastAsia="楷体_GB2312" w:hAnsi="楷体" w:cs="楷体" w:hint="eastAsia"/>
          <w:color w:val="000000"/>
          <w:kern w:val="0"/>
          <w:sz w:val="32"/>
          <w:szCs w:val="32"/>
        </w:rPr>
        <w:t>（二）投资强度</w:t>
      </w:r>
    </w:p>
    <w:p w:rsidR="00ED613B" w:rsidRDefault="0038650F">
      <w:pPr>
        <w:widowControl/>
        <w:spacing w:afterLines="0" w:line="240" w:lineRule="auto"/>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投资不得低于1000万元/亩。</w:t>
      </w:r>
    </w:p>
    <w:p w:rsidR="00ED613B" w:rsidRDefault="0038650F">
      <w:pPr>
        <w:widowControl/>
        <w:spacing w:afterLines="0" w:line="240" w:lineRule="auto"/>
        <w:ind w:firstLineChars="200" w:firstLine="640"/>
        <w:rPr>
          <w:rFonts w:ascii="楷体_GB2312" w:eastAsia="楷体_GB2312" w:hAnsi="楷体" w:cs="楷体"/>
          <w:color w:val="000000"/>
          <w:kern w:val="0"/>
          <w:sz w:val="32"/>
          <w:szCs w:val="32"/>
        </w:rPr>
      </w:pPr>
      <w:r>
        <w:rPr>
          <w:rFonts w:ascii="楷体_GB2312" w:eastAsia="楷体_GB2312" w:hAnsi="楷体" w:cs="楷体" w:hint="eastAsia"/>
          <w:color w:val="000000"/>
          <w:kern w:val="0"/>
          <w:sz w:val="32"/>
          <w:szCs w:val="32"/>
        </w:rPr>
        <w:lastRenderedPageBreak/>
        <w:t>（三）亩均指标</w:t>
      </w:r>
    </w:p>
    <w:p w:rsidR="00ED613B" w:rsidRDefault="0038650F">
      <w:pPr>
        <w:widowControl/>
        <w:spacing w:afterLines="0" w:line="240" w:lineRule="auto"/>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1.税收：年度实缴金额不低于100万元/亩。</w:t>
      </w:r>
    </w:p>
    <w:p w:rsidR="00ED613B" w:rsidRDefault="0038650F">
      <w:pPr>
        <w:widowControl/>
        <w:spacing w:afterLines="0" w:line="240" w:lineRule="auto"/>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2.研发费用：年度研发经费支出不低于当年主营业务收入的3%，年均研发人员数量不低于年均从业人员总数的30%。</w:t>
      </w:r>
    </w:p>
    <w:p w:rsidR="00ED613B" w:rsidRDefault="0038650F">
      <w:pPr>
        <w:widowControl/>
        <w:spacing w:afterLines="0" w:line="240" w:lineRule="auto"/>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3.单位能耗增加值：年度不低于5万元/吨标煤。</w:t>
      </w:r>
    </w:p>
    <w:p w:rsidR="00ED613B" w:rsidRDefault="0038650F">
      <w:pPr>
        <w:widowControl/>
        <w:spacing w:afterLines="0" w:line="240" w:lineRule="auto"/>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4.单位排放增加值：年度不低于1000万元/吨。</w:t>
      </w:r>
    </w:p>
    <w:p w:rsidR="00ED613B" w:rsidRDefault="0038650F">
      <w:pPr>
        <w:widowControl/>
        <w:spacing w:afterLines="0" w:line="240" w:lineRule="auto"/>
        <w:ind w:firstLineChars="200" w:firstLine="640"/>
        <w:rPr>
          <w:rFonts w:ascii="楷体_GB2312" w:eastAsia="楷体_GB2312" w:hAnsi="楷体" w:cs="楷体"/>
          <w:color w:val="000000"/>
          <w:kern w:val="0"/>
          <w:sz w:val="32"/>
          <w:szCs w:val="32"/>
        </w:rPr>
      </w:pPr>
      <w:r>
        <w:rPr>
          <w:rFonts w:ascii="楷体_GB2312" w:eastAsia="楷体_GB2312" w:hAnsi="楷体" w:cs="楷体" w:hint="eastAsia"/>
          <w:color w:val="000000"/>
          <w:kern w:val="0"/>
          <w:sz w:val="32"/>
          <w:szCs w:val="32"/>
        </w:rPr>
        <w:t>（四）环境风貌</w:t>
      </w:r>
    </w:p>
    <w:p w:rsidR="00ED613B" w:rsidRDefault="0038650F">
      <w:pPr>
        <w:widowControl/>
        <w:spacing w:afterLines="0" w:line="240" w:lineRule="auto"/>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工业用地改造提升项目应符合环境保护要求和区块建筑控制要求，建筑风格、建筑色彩、停车配置及绿化景观设计方案需征求属地街道、园区（平台）同意。</w:t>
      </w:r>
    </w:p>
    <w:p w:rsidR="00ED613B" w:rsidRDefault="0038650F">
      <w:pPr>
        <w:widowControl/>
        <w:spacing w:afterLines="0" w:line="240" w:lineRule="auto"/>
        <w:ind w:firstLineChars="200" w:firstLine="640"/>
        <w:rPr>
          <w:rFonts w:ascii="楷体_GB2312" w:eastAsia="楷体_GB2312" w:hAnsi="楷体" w:cs="楷体"/>
          <w:color w:val="000000"/>
          <w:kern w:val="0"/>
          <w:sz w:val="32"/>
          <w:szCs w:val="32"/>
        </w:rPr>
      </w:pPr>
      <w:r>
        <w:rPr>
          <w:rFonts w:ascii="楷体_GB2312" w:eastAsia="楷体_GB2312" w:hAnsi="楷体" w:cs="楷体" w:hint="eastAsia"/>
          <w:color w:val="000000"/>
          <w:kern w:val="0"/>
          <w:sz w:val="32"/>
          <w:szCs w:val="32"/>
        </w:rPr>
        <w:t>（五）容积率提升及职工宿舍配比</w:t>
      </w:r>
    </w:p>
    <w:p w:rsidR="00ED613B" w:rsidRDefault="0038650F">
      <w:pPr>
        <w:widowControl/>
        <w:spacing w:afterLines="0" w:line="240" w:lineRule="auto"/>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按照市新制造业计划及相关配套文件标准实施。</w:t>
      </w:r>
    </w:p>
    <w:p w:rsidR="00ED613B" w:rsidRDefault="0038650F">
      <w:pPr>
        <w:widowControl/>
        <w:spacing w:afterLines="0" w:line="240" w:lineRule="auto"/>
        <w:ind w:firstLineChars="200" w:firstLine="640"/>
        <w:rPr>
          <w:rFonts w:ascii="黑体" w:eastAsia="黑体" w:hAnsi="宋体" w:cs="黑体"/>
          <w:color w:val="000000"/>
          <w:kern w:val="0"/>
          <w:sz w:val="32"/>
          <w:szCs w:val="32"/>
        </w:rPr>
      </w:pPr>
      <w:r>
        <w:rPr>
          <w:rFonts w:ascii="黑体" w:eastAsia="黑体" w:hAnsi="宋体" w:cs="黑体" w:hint="eastAsia"/>
          <w:color w:val="000000"/>
          <w:kern w:val="0"/>
          <w:sz w:val="32"/>
          <w:szCs w:val="32"/>
        </w:rPr>
        <w:t>五、审批流程</w:t>
      </w:r>
    </w:p>
    <w:p w:rsidR="00ED613B" w:rsidRDefault="0038650F">
      <w:pPr>
        <w:widowControl/>
        <w:spacing w:afterLines="0" w:line="240" w:lineRule="auto"/>
        <w:ind w:firstLineChars="200" w:firstLine="640"/>
        <w:rPr>
          <w:rFonts w:ascii="楷体_GB2312" w:eastAsia="楷体_GB2312" w:hAnsi="楷体" w:cs="楷体"/>
          <w:color w:val="000000"/>
          <w:kern w:val="0"/>
          <w:sz w:val="32"/>
          <w:szCs w:val="32"/>
        </w:rPr>
      </w:pPr>
      <w:r>
        <w:rPr>
          <w:rFonts w:ascii="楷体_GB2312" w:eastAsia="楷体_GB2312" w:hAnsi="楷体" w:cs="楷体" w:hint="eastAsia"/>
          <w:color w:val="000000"/>
          <w:kern w:val="0"/>
          <w:sz w:val="32"/>
          <w:szCs w:val="32"/>
        </w:rPr>
        <w:t>（一）组织产业论证</w:t>
      </w:r>
    </w:p>
    <w:p w:rsidR="00ED613B" w:rsidRDefault="0038650F">
      <w:pPr>
        <w:widowControl/>
        <w:spacing w:afterLines="0" w:line="240" w:lineRule="auto"/>
        <w:ind w:firstLineChars="200" w:firstLine="640"/>
        <w:rPr>
          <w:rFonts w:ascii="仿宋_GB2312" w:eastAsia="仿宋_GB2312" w:hAnsi="宋体" w:cs="仿宋_GB2312"/>
          <w:bCs/>
          <w:color w:val="000000"/>
          <w:kern w:val="0"/>
          <w:sz w:val="32"/>
          <w:szCs w:val="32"/>
        </w:rPr>
      </w:pPr>
      <w:r>
        <w:rPr>
          <w:rFonts w:ascii="仿宋_GB2312" w:eastAsia="仿宋_GB2312" w:hAnsi="宋体" w:cs="仿宋_GB2312" w:hint="eastAsia"/>
          <w:bCs/>
          <w:color w:val="000000"/>
          <w:kern w:val="0"/>
          <w:sz w:val="32"/>
          <w:szCs w:val="32"/>
        </w:rPr>
        <w:t>1.前期审查</w:t>
      </w:r>
    </w:p>
    <w:p w:rsidR="00ED613B" w:rsidRDefault="0038650F">
      <w:pPr>
        <w:widowControl/>
        <w:spacing w:afterLines="0" w:line="240" w:lineRule="auto"/>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具有改造提升意向的用地所有权工业企业，在明确改造提升项目的产业定位、相关指标、编制产业可行性研究报告后，向属地街道、园区（平台）提交产业论证申请材料。收到产业论证材料的街道、园区（平台）根据条件标准审核后，提出增补准入指标、招商引资等相应条件要求，并出具初步审核意见后，报 “新制造业计划”办。</w:t>
      </w:r>
    </w:p>
    <w:p w:rsidR="00ED613B" w:rsidRDefault="0038650F">
      <w:pPr>
        <w:widowControl/>
        <w:spacing w:afterLines="0" w:line="240" w:lineRule="auto"/>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bCs/>
          <w:color w:val="000000"/>
          <w:kern w:val="0"/>
          <w:sz w:val="32"/>
          <w:szCs w:val="32"/>
        </w:rPr>
        <w:t>2.产业论证</w:t>
      </w:r>
    </w:p>
    <w:p w:rsidR="00ED613B" w:rsidRDefault="0038650F">
      <w:pPr>
        <w:widowControl/>
        <w:spacing w:afterLines="0" w:line="240" w:lineRule="auto"/>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lastRenderedPageBreak/>
        <w:t>由“新制造业计划”办召集区投促局、区财政局、区统计局、区科技局等相关区级职能部门、属地街道、园区（平台）实施产业论证。</w:t>
      </w:r>
    </w:p>
    <w:p w:rsidR="00ED613B" w:rsidRDefault="0038650F">
      <w:pPr>
        <w:widowControl/>
        <w:spacing w:afterLines="0" w:line="240" w:lineRule="auto"/>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3.产业审核</w:t>
      </w:r>
    </w:p>
    <w:p w:rsidR="00ED613B" w:rsidRDefault="0038650F">
      <w:pPr>
        <w:widowControl/>
        <w:spacing w:afterLines="0" w:line="240" w:lineRule="auto"/>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由“新制造业计划”办将通过的产业论证材料报区“新制造业计划”领导小组审核，同意后出具审核意见。</w:t>
      </w:r>
    </w:p>
    <w:p w:rsidR="00ED613B" w:rsidRDefault="0038650F">
      <w:pPr>
        <w:widowControl/>
        <w:spacing w:afterLines="0" w:line="240" w:lineRule="auto"/>
        <w:ind w:firstLineChars="200" w:firstLine="640"/>
        <w:rPr>
          <w:rFonts w:ascii="楷体_GB2312" w:eastAsia="楷体_GB2312" w:hAnsi="楷体" w:cs="楷体"/>
          <w:color w:val="000000"/>
          <w:kern w:val="0"/>
          <w:sz w:val="32"/>
          <w:szCs w:val="32"/>
        </w:rPr>
      </w:pPr>
      <w:r>
        <w:rPr>
          <w:rFonts w:ascii="楷体_GB2312" w:eastAsia="楷体_GB2312" w:hAnsi="楷体" w:cs="楷体" w:hint="eastAsia"/>
          <w:color w:val="000000"/>
          <w:kern w:val="0"/>
          <w:sz w:val="32"/>
          <w:szCs w:val="32"/>
        </w:rPr>
        <w:t>（二）可行性审核</w:t>
      </w:r>
    </w:p>
    <w:p w:rsidR="00ED613B" w:rsidRDefault="0038650F">
      <w:pPr>
        <w:widowControl/>
        <w:spacing w:afterLines="0" w:line="240" w:lineRule="auto"/>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1.对未突破规划条件的，按以下程序办理：企业到市生态环境局上城分局窗口申请，市生态环境局上城分局按照告知承诺许可规定流程、且</w:t>
      </w:r>
      <w:r>
        <w:rPr>
          <w:rFonts w:ascii="仿宋_GB2312" w:eastAsia="仿宋_GB2312" w:hAnsi="inherit" w:hint="eastAsia"/>
          <w:sz w:val="32"/>
          <w:szCs w:val="32"/>
        </w:rPr>
        <w:t>与</w:t>
      </w:r>
      <w:r>
        <w:rPr>
          <w:rFonts w:ascii="仿宋_GB2312" w:eastAsia="仿宋_GB2312" w:hAnsi="inherit"/>
          <w:sz w:val="32"/>
          <w:szCs w:val="32"/>
        </w:rPr>
        <w:t>属地</w:t>
      </w:r>
      <w:r>
        <w:rPr>
          <w:rFonts w:ascii="仿宋_GB2312" w:eastAsia="仿宋_GB2312" w:hAnsi="inherit" w:hint="eastAsia"/>
          <w:sz w:val="32"/>
          <w:szCs w:val="32"/>
        </w:rPr>
        <w:t>街道、园区（平台）签订《</w:t>
      </w:r>
      <w:r>
        <w:rPr>
          <w:rFonts w:ascii="仿宋_GB2312" w:eastAsia="仿宋_GB2312" w:hAnsi="宋体" w:cs="仿宋_GB2312" w:hint="eastAsia"/>
          <w:color w:val="000000"/>
          <w:kern w:val="0"/>
          <w:sz w:val="32"/>
          <w:szCs w:val="32"/>
        </w:rPr>
        <w:t>上城区新制造业项目履约监管协议》</w:t>
      </w:r>
      <w:r>
        <w:rPr>
          <w:rFonts w:ascii="仿宋_GB2312" w:eastAsia="仿宋_GB2312" w:hAnsi="inherit" w:hint="eastAsia"/>
          <w:sz w:val="32"/>
          <w:szCs w:val="32"/>
        </w:rPr>
        <w:t>后，</w:t>
      </w:r>
      <w:r>
        <w:rPr>
          <w:rFonts w:ascii="仿宋_GB2312" w:eastAsia="仿宋_GB2312" w:hAnsi="宋体" w:cs="仿宋_GB2312" w:hint="eastAsia"/>
          <w:color w:val="000000"/>
          <w:kern w:val="0"/>
          <w:sz w:val="32"/>
          <w:szCs w:val="32"/>
        </w:rPr>
        <w:t>办理《建设工程规划许可证》。</w:t>
      </w:r>
    </w:p>
    <w:p w:rsidR="00ED613B" w:rsidRDefault="0038650F">
      <w:pPr>
        <w:widowControl/>
        <w:spacing w:afterLines="0" w:line="240" w:lineRule="auto"/>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后续流程接第（三）项验收考核及后续。</w:t>
      </w:r>
    </w:p>
    <w:p w:rsidR="00ED613B" w:rsidRDefault="0038650F">
      <w:pPr>
        <w:widowControl/>
        <w:spacing w:afterLines="0" w:line="240" w:lineRule="auto"/>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2.对于突破规划条件的项目，按以下程序办理：</w:t>
      </w:r>
    </w:p>
    <w:p w:rsidR="00ED613B" w:rsidRDefault="0038650F">
      <w:pPr>
        <w:widowControl/>
        <w:spacing w:afterLines="0" w:line="240" w:lineRule="auto"/>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（1）可行性论证</w:t>
      </w:r>
    </w:p>
    <w:p w:rsidR="00ED613B" w:rsidRDefault="0038650F">
      <w:pPr>
        <w:widowControl/>
        <w:spacing w:afterLines="0" w:line="240" w:lineRule="auto"/>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企业根据产业论证审核意见，向市规划资源上城分局提交提高工业用地容积率申请。由市规划资源上城分局牵头组织属地街道、园区（平台）、以及市生态环境局上城分局、区住建局等相关职能部门（必要时可聘请专家），对涉及容积率调整的必要性、环境影响等可行性和合理性进行论证，并出具相关意见，论证通过后，报“新制造业计划”办。</w:t>
      </w:r>
    </w:p>
    <w:p w:rsidR="00ED613B" w:rsidRDefault="0038650F">
      <w:pPr>
        <w:widowControl/>
        <w:spacing w:afterLines="0" w:line="240" w:lineRule="auto"/>
        <w:ind w:firstLineChars="200" w:firstLine="640"/>
        <w:rPr>
          <w:rFonts w:ascii="仿宋_GB2312" w:eastAsia="仿宋_GB2312" w:hAnsi="宋体" w:cs="仿宋_GB2312"/>
          <w:bCs/>
          <w:color w:val="000000"/>
          <w:kern w:val="0"/>
          <w:sz w:val="32"/>
          <w:szCs w:val="32"/>
        </w:rPr>
      </w:pPr>
      <w:r>
        <w:rPr>
          <w:rFonts w:ascii="仿宋_GB2312" w:eastAsia="仿宋_GB2312" w:hAnsi="宋体" w:cs="仿宋_GB2312" w:hint="eastAsia"/>
          <w:bCs/>
          <w:color w:val="000000"/>
          <w:kern w:val="0"/>
          <w:sz w:val="32"/>
          <w:szCs w:val="32"/>
        </w:rPr>
        <w:t>（2）研究确认</w:t>
      </w:r>
    </w:p>
    <w:p w:rsidR="00ED613B" w:rsidRDefault="0038650F">
      <w:pPr>
        <w:widowControl/>
        <w:spacing w:afterLines="0" w:line="240" w:lineRule="auto"/>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lastRenderedPageBreak/>
        <w:t>由“新制造业计划”办将论证通过项目提交区“新制造业计划”领导小组研究确认。</w:t>
      </w:r>
      <w:bookmarkStart w:id="0" w:name="_Hlk82233284"/>
    </w:p>
    <w:p w:rsidR="00ED613B" w:rsidRDefault="0038650F">
      <w:pPr>
        <w:widowControl/>
        <w:spacing w:afterLines="0" w:line="240" w:lineRule="auto"/>
        <w:ind w:firstLineChars="200" w:firstLine="640"/>
        <w:rPr>
          <w:rFonts w:ascii="仿宋_GB2312" w:eastAsia="仿宋_GB2312" w:hAnsi="宋体" w:cs="仿宋_GB2312"/>
          <w:bCs/>
          <w:color w:val="000000"/>
          <w:kern w:val="0"/>
          <w:sz w:val="32"/>
          <w:szCs w:val="32"/>
        </w:rPr>
      </w:pPr>
      <w:r>
        <w:rPr>
          <w:rFonts w:ascii="仿宋_GB2312" w:eastAsia="仿宋_GB2312" w:hAnsi="宋体" w:cs="仿宋_GB2312" w:hint="eastAsia"/>
          <w:bCs/>
          <w:color w:val="000000"/>
          <w:kern w:val="0"/>
          <w:sz w:val="32"/>
          <w:szCs w:val="32"/>
        </w:rPr>
        <w:t>（3）项目备案和规划变更</w:t>
      </w:r>
    </w:p>
    <w:p w:rsidR="00ED613B" w:rsidRDefault="0038650F">
      <w:pPr>
        <w:widowControl/>
        <w:spacing w:afterLines="0" w:line="240" w:lineRule="auto"/>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经区“新制造业计划”领导小组研究确认通过后，由区政府报请市</w:t>
      </w:r>
      <w:r>
        <w:rPr>
          <w:rFonts w:ascii="仿宋_GB2312" w:eastAsia="仿宋_GB2312" w:hAnsi="华文仿宋"/>
          <w:sz w:val="32"/>
          <w:szCs w:val="32"/>
        </w:rPr>
        <w:t>规划资源</w:t>
      </w:r>
      <w:r>
        <w:rPr>
          <w:rFonts w:ascii="仿宋_GB2312" w:eastAsia="仿宋_GB2312" w:hAnsi="华文仿宋" w:hint="eastAsia"/>
          <w:sz w:val="32"/>
          <w:szCs w:val="32"/>
        </w:rPr>
        <w:t>局审核通过，并</w:t>
      </w:r>
      <w:r>
        <w:rPr>
          <w:rFonts w:ascii="仿宋_GB2312" w:eastAsia="仿宋_GB2312" w:hAnsi="inherit" w:hint="eastAsia"/>
          <w:sz w:val="32"/>
          <w:szCs w:val="32"/>
        </w:rPr>
        <w:t>按规定完备控规。</w:t>
      </w:r>
      <w:r>
        <w:rPr>
          <w:rFonts w:ascii="仿宋_GB2312" w:eastAsia="仿宋_GB2312" w:hAnsi="宋体" w:cs="仿宋_GB2312" w:hint="eastAsia"/>
          <w:color w:val="000000"/>
          <w:kern w:val="0"/>
          <w:sz w:val="32"/>
          <w:szCs w:val="32"/>
        </w:rPr>
        <w:t>由区发改经信局实施备案，并出具项目备案文件。</w:t>
      </w:r>
      <w:r>
        <w:rPr>
          <w:rFonts w:ascii="仿宋_GB2312" w:eastAsia="仿宋_GB2312" w:hAnsi="inherit" w:hint="eastAsia"/>
          <w:sz w:val="32"/>
          <w:szCs w:val="32"/>
        </w:rPr>
        <w:t>企业凭项目备案文件到</w:t>
      </w:r>
      <w:r>
        <w:rPr>
          <w:rFonts w:ascii="仿宋_GB2312" w:eastAsia="仿宋_GB2312" w:hAnsi="宋体" w:cs="仿宋_GB2312" w:hint="eastAsia"/>
          <w:color w:val="000000"/>
          <w:kern w:val="0"/>
          <w:sz w:val="32"/>
          <w:szCs w:val="32"/>
        </w:rPr>
        <w:t>市规划资源上城分局</w:t>
      </w:r>
      <w:r>
        <w:rPr>
          <w:rFonts w:ascii="仿宋_GB2312" w:eastAsia="仿宋_GB2312" w:hAnsi="inherit" w:hint="eastAsia"/>
          <w:sz w:val="32"/>
          <w:szCs w:val="32"/>
        </w:rPr>
        <w:t>申请规划条件变更，如涉及与他人之间有重大利益关系的，</w:t>
      </w:r>
      <w:r>
        <w:rPr>
          <w:rFonts w:ascii="仿宋_GB2312" w:eastAsia="仿宋_GB2312" w:hAnsi="宋体" w:cs="仿宋_GB2312" w:hint="eastAsia"/>
          <w:color w:val="000000"/>
          <w:kern w:val="0"/>
          <w:sz w:val="32"/>
          <w:szCs w:val="32"/>
        </w:rPr>
        <w:t>市规划资源上城分局</w:t>
      </w:r>
      <w:r>
        <w:rPr>
          <w:rFonts w:ascii="仿宋_GB2312" w:eastAsia="仿宋_GB2312" w:hAnsi="inherit" w:hint="eastAsia"/>
          <w:sz w:val="32"/>
          <w:szCs w:val="32"/>
        </w:rPr>
        <w:t>组织</w:t>
      </w:r>
      <w:r>
        <w:rPr>
          <w:rFonts w:ascii="仿宋_GB2312" w:eastAsia="仿宋_GB2312" w:hAnsi="inherit"/>
          <w:sz w:val="32"/>
          <w:szCs w:val="32"/>
        </w:rPr>
        <w:t>公示</w:t>
      </w:r>
      <w:r>
        <w:rPr>
          <w:rFonts w:ascii="仿宋_GB2312" w:eastAsia="仿宋_GB2312" w:hAnsi="inherit" w:hint="eastAsia"/>
          <w:sz w:val="32"/>
          <w:szCs w:val="32"/>
        </w:rPr>
        <w:t>后对符合受理条件的项目予以办理。</w:t>
      </w:r>
    </w:p>
    <w:bookmarkEnd w:id="0"/>
    <w:p w:rsidR="00ED613B" w:rsidRDefault="0038650F">
      <w:pPr>
        <w:widowControl/>
        <w:spacing w:afterLines="0" w:line="240" w:lineRule="auto"/>
        <w:ind w:firstLineChars="200" w:firstLine="640"/>
        <w:rPr>
          <w:rFonts w:ascii="仿宋_GB2312" w:eastAsia="仿宋_GB2312" w:hAnsi="宋体" w:cs="仿宋_GB2312"/>
          <w:bCs/>
          <w:color w:val="000000"/>
          <w:kern w:val="0"/>
          <w:sz w:val="32"/>
          <w:szCs w:val="32"/>
        </w:rPr>
      </w:pPr>
      <w:r>
        <w:rPr>
          <w:rFonts w:ascii="仿宋_GB2312" w:eastAsia="仿宋_GB2312" w:hAnsi="宋体" w:cs="仿宋_GB2312" w:hint="eastAsia"/>
          <w:bCs/>
          <w:color w:val="000000"/>
          <w:kern w:val="0"/>
          <w:sz w:val="32"/>
          <w:szCs w:val="32"/>
        </w:rPr>
        <w:t>（4）签订补充协议和规划许可</w:t>
      </w:r>
    </w:p>
    <w:p w:rsidR="00ED613B" w:rsidRDefault="0038650F">
      <w:pPr>
        <w:widowControl/>
        <w:spacing w:afterLines="0" w:line="240" w:lineRule="auto"/>
        <w:ind w:firstLineChars="200" w:firstLine="640"/>
        <w:rPr>
          <w:rFonts w:ascii="仿宋_GB2312" w:eastAsia="仿宋_GB2312" w:hAnsi="inherit"/>
          <w:sz w:val="32"/>
          <w:szCs w:val="32"/>
        </w:rPr>
      </w:pPr>
      <w:r>
        <w:rPr>
          <w:rFonts w:ascii="仿宋_GB2312" w:eastAsia="仿宋_GB2312" w:hAnsi="inherit" w:hint="eastAsia"/>
          <w:bCs/>
          <w:sz w:val="32"/>
          <w:szCs w:val="32"/>
        </w:rPr>
        <w:t>企业</w:t>
      </w:r>
      <w:r>
        <w:rPr>
          <w:rFonts w:ascii="仿宋_GB2312" w:eastAsia="仿宋_GB2312" w:hAnsi="inherit" w:hint="eastAsia"/>
          <w:sz w:val="32"/>
          <w:szCs w:val="32"/>
        </w:rPr>
        <w:t>与</w:t>
      </w:r>
      <w:r>
        <w:rPr>
          <w:rFonts w:ascii="仿宋_GB2312" w:eastAsia="仿宋_GB2312" w:hAnsi="inherit"/>
          <w:sz w:val="32"/>
          <w:szCs w:val="32"/>
        </w:rPr>
        <w:t>属地</w:t>
      </w:r>
      <w:r>
        <w:rPr>
          <w:rFonts w:ascii="仿宋_GB2312" w:eastAsia="仿宋_GB2312" w:hAnsi="inherit" w:hint="eastAsia"/>
          <w:sz w:val="32"/>
          <w:szCs w:val="32"/>
        </w:rPr>
        <w:t>街道、园区（平台）签订《</w:t>
      </w:r>
      <w:r>
        <w:rPr>
          <w:rFonts w:ascii="仿宋_GB2312" w:eastAsia="仿宋_GB2312" w:hAnsi="宋体" w:cs="仿宋_GB2312" w:hint="eastAsia"/>
          <w:color w:val="000000"/>
          <w:kern w:val="0"/>
          <w:sz w:val="32"/>
          <w:szCs w:val="32"/>
        </w:rPr>
        <w:t>上城区新制造业项目履约监管协议》</w:t>
      </w:r>
      <w:r>
        <w:rPr>
          <w:rFonts w:ascii="仿宋_GB2312" w:eastAsia="仿宋_GB2312" w:hAnsi="inherit" w:hint="eastAsia"/>
          <w:sz w:val="32"/>
          <w:szCs w:val="32"/>
        </w:rPr>
        <w:t>后，与属地规划资源部门签订土地出让合同补充协议。企业到</w:t>
      </w:r>
      <w:r>
        <w:rPr>
          <w:rFonts w:ascii="仿宋_GB2312" w:eastAsia="仿宋_GB2312" w:hAnsi="宋体" w:cs="仿宋_GB2312" w:hint="eastAsia"/>
          <w:color w:val="000000"/>
          <w:kern w:val="0"/>
          <w:sz w:val="32"/>
          <w:szCs w:val="32"/>
        </w:rPr>
        <w:t>市规划资源上城分局</w:t>
      </w:r>
      <w:r>
        <w:rPr>
          <w:rFonts w:ascii="仿宋_GB2312" w:eastAsia="仿宋_GB2312" w:hAnsi="inherit" w:hint="eastAsia"/>
          <w:sz w:val="32"/>
          <w:szCs w:val="32"/>
        </w:rPr>
        <w:t>窗口申请，</w:t>
      </w:r>
      <w:r>
        <w:rPr>
          <w:rFonts w:ascii="仿宋_GB2312" w:eastAsia="仿宋_GB2312" w:hAnsi="宋体" w:cs="仿宋_GB2312" w:hint="eastAsia"/>
          <w:color w:val="000000"/>
          <w:kern w:val="0"/>
          <w:sz w:val="32"/>
          <w:szCs w:val="32"/>
        </w:rPr>
        <w:t>市规划资源上城分局</w:t>
      </w:r>
      <w:r>
        <w:rPr>
          <w:rFonts w:ascii="仿宋_GB2312" w:eastAsia="仿宋_GB2312" w:hAnsi="inherit" w:hint="eastAsia"/>
          <w:sz w:val="32"/>
          <w:szCs w:val="32"/>
        </w:rPr>
        <w:t>按照告知承诺制许可规定流程办理《建设工程规划许可证》。</w:t>
      </w:r>
    </w:p>
    <w:p w:rsidR="00ED613B" w:rsidRDefault="0038650F">
      <w:pPr>
        <w:widowControl/>
        <w:spacing w:afterLines="0" w:line="240" w:lineRule="auto"/>
        <w:ind w:firstLineChars="200" w:firstLine="640"/>
        <w:rPr>
          <w:rFonts w:ascii="楷体_GB2312" w:eastAsia="楷体_GB2312" w:hAnsi="楷体" w:cs="楷体"/>
          <w:color w:val="000000"/>
          <w:kern w:val="0"/>
          <w:sz w:val="32"/>
          <w:szCs w:val="32"/>
        </w:rPr>
      </w:pPr>
      <w:r>
        <w:rPr>
          <w:rFonts w:ascii="楷体_GB2312" w:eastAsia="楷体_GB2312" w:hAnsi="楷体" w:cs="楷体" w:hint="eastAsia"/>
          <w:color w:val="000000"/>
          <w:kern w:val="0"/>
          <w:sz w:val="32"/>
          <w:szCs w:val="32"/>
        </w:rPr>
        <w:t>（三）验收考核</w:t>
      </w:r>
    </w:p>
    <w:p w:rsidR="00ED613B" w:rsidRDefault="0038650F">
      <w:pPr>
        <w:widowControl/>
        <w:spacing w:afterLines="0" w:line="240" w:lineRule="auto"/>
        <w:ind w:firstLineChars="200" w:firstLine="640"/>
        <w:rPr>
          <w:rFonts w:ascii="仿宋_GB2312" w:eastAsia="仿宋_GB2312" w:hAnsi="inherit"/>
          <w:bCs/>
          <w:sz w:val="32"/>
          <w:szCs w:val="32"/>
        </w:rPr>
      </w:pPr>
      <w:r>
        <w:rPr>
          <w:rFonts w:ascii="仿宋_GB2312" w:eastAsia="仿宋_GB2312" w:hAnsi="inherit" w:hint="eastAsia"/>
          <w:bCs/>
          <w:sz w:val="32"/>
          <w:szCs w:val="32"/>
        </w:rPr>
        <w:t>用地企业在取得</w:t>
      </w:r>
      <w:r>
        <w:rPr>
          <w:rFonts w:ascii="仿宋_GB2312" w:eastAsia="仿宋_GB2312" w:hAnsi="inherit"/>
          <w:bCs/>
          <w:sz w:val="32"/>
          <w:szCs w:val="32"/>
        </w:rPr>
        <w:t>《建设工程规划核实确认书》</w:t>
      </w:r>
      <w:r>
        <w:rPr>
          <w:rFonts w:ascii="仿宋_GB2312" w:eastAsia="仿宋_GB2312" w:hAnsi="inherit" w:hint="eastAsia"/>
          <w:bCs/>
          <w:sz w:val="32"/>
          <w:szCs w:val="32"/>
        </w:rPr>
        <w:t>后应在限定期限（10亿元及以上36个月，10亿元以下24个月）之内书面向属地街道、园区（平台）提出申请综合验收报告。</w:t>
      </w:r>
    </w:p>
    <w:p w:rsidR="00ED613B" w:rsidRDefault="0038650F">
      <w:pPr>
        <w:widowControl/>
        <w:spacing w:afterLines="0" w:line="240" w:lineRule="auto"/>
        <w:ind w:firstLineChars="200" w:firstLine="640"/>
        <w:rPr>
          <w:rFonts w:ascii="仿宋_GB2312" w:eastAsia="仿宋_GB2312" w:hAnsi="inherit"/>
          <w:sz w:val="32"/>
          <w:szCs w:val="32"/>
        </w:rPr>
      </w:pPr>
      <w:r>
        <w:rPr>
          <w:rFonts w:ascii="仿宋_GB2312" w:eastAsia="仿宋_GB2312" w:hAnsi="inherit" w:hint="eastAsia"/>
          <w:bCs/>
          <w:sz w:val="32"/>
          <w:szCs w:val="32"/>
        </w:rPr>
        <w:t>属地街道、园区（平台）收到申请综合验收报告后应组织相关部门开展综合验收，并出具验收意见。对于经综合验收未达产的，出具整改意见，并要求在规定时间内完成整改落实；对于经</w:t>
      </w:r>
      <w:r>
        <w:rPr>
          <w:rFonts w:ascii="仿宋_GB2312" w:eastAsia="仿宋_GB2312" w:hAnsi="inherit" w:hint="eastAsia"/>
          <w:bCs/>
          <w:sz w:val="32"/>
          <w:szCs w:val="32"/>
        </w:rPr>
        <w:lastRenderedPageBreak/>
        <w:t>综合验收达产的，应出具书面报告并提供相关部门的验</w:t>
      </w:r>
      <w:r>
        <w:rPr>
          <w:rFonts w:ascii="仿宋_GB2312" w:eastAsia="仿宋_GB2312" w:hAnsi="inherit" w:hint="eastAsia"/>
          <w:sz w:val="32"/>
          <w:szCs w:val="32"/>
        </w:rPr>
        <w:t>收资料，在验收后一周内报“新制造业计划”办。</w:t>
      </w:r>
    </w:p>
    <w:p w:rsidR="00ED613B" w:rsidRDefault="0038650F">
      <w:pPr>
        <w:widowControl/>
        <w:spacing w:afterLines="0" w:line="240" w:lineRule="auto"/>
        <w:ind w:firstLineChars="200" w:firstLine="640"/>
        <w:rPr>
          <w:rFonts w:ascii="仿宋_GB2312" w:eastAsia="仿宋_GB2312" w:hAnsi="inherit"/>
          <w:sz w:val="32"/>
          <w:szCs w:val="32"/>
        </w:rPr>
      </w:pPr>
      <w:r>
        <w:rPr>
          <w:rFonts w:ascii="仿宋_GB2312" w:eastAsia="仿宋_GB2312" w:hAnsi="inherit" w:hint="eastAsia"/>
          <w:sz w:val="32"/>
          <w:szCs w:val="32"/>
        </w:rPr>
        <w:t>整改期内土地综合验收程序同上。</w:t>
      </w:r>
    </w:p>
    <w:p w:rsidR="00ED613B" w:rsidRDefault="0038650F">
      <w:pPr>
        <w:widowControl/>
        <w:spacing w:afterLines="0" w:line="240" w:lineRule="auto"/>
        <w:ind w:firstLineChars="200" w:firstLine="640"/>
        <w:rPr>
          <w:rFonts w:ascii="楷体_GB2312" w:eastAsia="楷体_GB2312" w:hAnsi="inherit"/>
          <w:sz w:val="32"/>
          <w:szCs w:val="32"/>
        </w:rPr>
      </w:pPr>
      <w:r>
        <w:rPr>
          <w:rFonts w:ascii="楷体_GB2312" w:eastAsia="楷体_GB2312" w:hAnsi="inherit" w:hint="eastAsia"/>
          <w:sz w:val="32"/>
          <w:szCs w:val="32"/>
        </w:rPr>
        <w:t>（四）产权变更和有序退出</w:t>
      </w:r>
    </w:p>
    <w:p w:rsidR="00ED613B" w:rsidRDefault="0038650F">
      <w:pPr>
        <w:widowControl/>
        <w:spacing w:afterLines="0" w:line="240" w:lineRule="auto"/>
        <w:ind w:firstLineChars="200" w:firstLine="640"/>
        <w:rPr>
          <w:rFonts w:ascii="仿宋_GB2312" w:eastAsia="仿宋_GB2312" w:hAnsi="inherit"/>
          <w:color w:val="000000" w:themeColor="text1"/>
          <w:sz w:val="32"/>
          <w:szCs w:val="32"/>
        </w:rPr>
      </w:pPr>
      <w:r>
        <w:rPr>
          <w:rFonts w:ascii="仿宋_GB2312" w:eastAsia="仿宋_GB2312" w:hAnsi="inherit" w:hint="eastAsia"/>
          <w:color w:val="000000" w:themeColor="text1"/>
          <w:sz w:val="32"/>
          <w:szCs w:val="32"/>
        </w:rPr>
        <w:t>对于综合验收通过的项目，经“新制造业计划”办初步审核综合验收资料后，上报区“新制造业计划”领导小组，经同意后办理产权变更手续。对于整改期时间到达后，仍无法通过的项目，由属地街道、园区（平台）15天之内形成相关报告，报“新制造业计划”办，经初步审核后，报经“新制造业计划”领导小组，按《</w:t>
      </w:r>
      <w:r>
        <w:rPr>
          <w:rFonts w:ascii="仿宋_GB2312" w:eastAsia="仿宋_GB2312" w:hAnsi="宋体" w:cs="仿宋_GB2312" w:hint="eastAsia"/>
          <w:color w:val="000000" w:themeColor="text1"/>
          <w:kern w:val="0"/>
          <w:sz w:val="32"/>
          <w:szCs w:val="32"/>
        </w:rPr>
        <w:t>上城区新制造业项目履约监管协议》约定内容实施退出。</w:t>
      </w:r>
    </w:p>
    <w:p w:rsidR="00ED613B" w:rsidRDefault="0038650F">
      <w:pPr>
        <w:widowControl/>
        <w:spacing w:afterLines="0" w:line="240" w:lineRule="auto"/>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六、监管机制</w:t>
      </w:r>
    </w:p>
    <w:p w:rsidR="00ED613B" w:rsidRDefault="0038650F">
      <w:pPr>
        <w:widowControl/>
        <w:spacing w:afterLines="0" w:line="240" w:lineRule="auto"/>
        <w:ind w:firstLineChars="200" w:firstLine="640"/>
        <w:rPr>
          <w:rFonts w:ascii="仿宋_GB2312" w:eastAsia="仿宋_GB2312" w:hAnsi="宋体" w:cs="仿宋_GB2312"/>
          <w:color w:val="000000"/>
          <w:kern w:val="0"/>
          <w:sz w:val="32"/>
          <w:szCs w:val="32"/>
        </w:rPr>
      </w:pPr>
      <w:r>
        <w:rPr>
          <w:rFonts w:ascii="楷体_GB2312" w:eastAsia="楷体_GB2312" w:hAnsi="inherit" w:hint="eastAsia"/>
          <w:sz w:val="32"/>
          <w:szCs w:val="32"/>
        </w:rPr>
        <w:t>（一）属地监管。</w:t>
      </w:r>
      <w:r>
        <w:rPr>
          <w:rFonts w:ascii="仿宋_GB2312" w:eastAsia="仿宋_GB2312" w:hAnsi="宋体" w:cs="仿宋_GB2312" w:hint="eastAsia"/>
          <w:color w:val="000000"/>
          <w:kern w:val="0"/>
          <w:sz w:val="32"/>
          <w:szCs w:val="32"/>
        </w:rPr>
        <w:t>由各属地街道、园区（平台）负责项目全生命周期动态监管，加强投资进度、项目业态、用地行为等日常监管，组织开展专项整治工作，落实退出机制，并按月度向“新制造业计划”办报告相关情况。用地所有权企业涉及股权转让、</w:t>
      </w:r>
      <w:r>
        <w:rPr>
          <w:rFonts w:ascii="仿宋_GB2312" w:eastAsia="仿宋_GB2312" w:hAnsi="inherit" w:hint="eastAsia"/>
          <w:sz w:val="32"/>
          <w:szCs w:val="32"/>
        </w:rPr>
        <w:t>股权质押、土地质押、</w:t>
      </w:r>
      <w:r>
        <w:rPr>
          <w:rFonts w:ascii="仿宋_GB2312" w:eastAsia="仿宋_GB2312" w:hAnsi="宋体" w:cs="仿宋_GB2312" w:hint="eastAsia"/>
          <w:color w:val="000000"/>
          <w:kern w:val="0"/>
          <w:sz w:val="32"/>
          <w:szCs w:val="32"/>
        </w:rPr>
        <w:t>长期租用等涉及用地项目产权的行为，必须督促企业报“新制造业计划”办，由区“新制造业计划”领导小组予以审核。</w:t>
      </w:r>
    </w:p>
    <w:p w:rsidR="00ED613B" w:rsidRDefault="0038650F">
      <w:pPr>
        <w:widowControl/>
        <w:spacing w:afterLines="0" w:line="240" w:lineRule="auto"/>
        <w:ind w:firstLineChars="200" w:firstLine="640"/>
        <w:rPr>
          <w:rFonts w:ascii="仿宋_GB2312" w:eastAsia="仿宋_GB2312" w:hAnsi="宋体" w:cs="仿宋_GB2312"/>
          <w:color w:val="000000"/>
          <w:kern w:val="0"/>
          <w:sz w:val="32"/>
          <w:szCs w:val="32"/>
        </w:rPr>
      </w:pPr>
      <w:r>
        <w:rPr>
          <w:rFonts w:ascii="楷体_GB2312" w:eastAsia="楷体_GB2312" w:hAnsi="inherit" w:hint="eastAsia"/>
          <w:sz w:val="32"/>
          <w:szCs w:val="32"/>
        </w:rPr>
        <w:t>（二）存量管理。</w:t>
      </w:r>
      <w:r>
        <w:rPr>
          <w:rFonts w:ascii="仿宋_GB2312" w:eastAsia="仿宋_GB2312" w:hAnsi="宋体" w:cs="仿宋_GB2312" w:hint="eastAsia"/>
          <w:color w:val="000000"/>
          <w:kern w:val="0"/>
          <w:sz w:val="32"/>
          <w:szCs w:val="32"/>
        </w:rPr>
        <w:t>市规划资源上城分局应在厘清区内存量工业用地情况的基础上加强日常动态管理，按季度向“新制造业计划”办报送工业存量用地动态情况。</w:t>
      </w:r>
    </w:p>
    <w:p w:rsidR="00ED613B" w:rsidRDefault="0038650F">
      <w:pPr>
        <w:widowControl/>
        <w:spacing w:afterLines="0" w:line="240" w:lineRule="auto"/>
        <w:ind w:firstLineChars="200" w:firstLine="640"/>
        <w:rPr>
          <w:rFonts w:ascii="仿宋_GB2312" w:eastAsia="仿宋_GB2312" w:hAnsi="宋体" w:cs="仿宋_GB2312"/>
          <w:color w:val="000000"/>
          <w:kern w:val="0"/>
          <w:sz w:val="32"/>
          <w:szCs w:val="32"/>
        </w:rPr>
      </w:pPr>
      <w:r>
        <w:rPr>
          <w:rFonts w:ascii="楷体_GB2312" w:eastAsia="楷体_GB2312" w:hAnsi="inherit" w:hint="eastAsia"/>
          <w:sz w:val="32"/>
          <w:szCs w:val="32"/>
        </w:rPr>
        <w:lastRenderedPageBreak/>
        <w:t>（三）联合监管。</w:t>
      </w:r>
      <w:r>
        <w:rPr>
          <w:rFonts w:ascii="仿宋_GB2312" w:eastAsia="仿宋_GB2312" w:hAnsi="宋体" w:cs="仿宋_GB2312" w:hint="eastAsia"/>
          <w:color w:val="000000"/>
          <w:kern w:val="0"/>
          <w:sz w:val="32"/>
          <w:szCs w:val="32"/>
        </w:rPr>
        <w:t>相关部门应配合属地街道、园区（平台）开展日常监管工作。各部门依据法定职责配合做好以下工作：区公安分局负责违反治安、流动人员管理等相关整治工作；区住建局负责对改变房屋结构、绿化用地、人防设施等行为的相关整治工作；区城管局负责违章建筑等整治工作；区市场监管局负责违反经营许可等相关整治工作；区税务局负责偷、逃、漏缴税（费）等相关整治工作；区应急管理局负责违反安全生产整治相关工作；区消防大队负责违反消防安全整治相关工作；市生态环境上城分局负责违反环境保护整治相关工作。</w:t>
      </w:r>
    </w:p>
    <w:p w:rsidR="00ED613B" w:rsidRDefault="0038650F">
      <w:pPr>
        <w:widowControl/>
        <w:spacing w:afterLines="0" w:line="240" w:lineRule="auto"/>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七、其他事项</w:t>
      </w:r>
    </w:p>
    <w:p w:rsidR="00ED613B" w:rsidRDefault="0038650F">
      <w:pPr>
        <w:widowControl/>
        <w:spacing w:afterLines="0" w:line="240" w:lineRule="auto"/>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（一）申报项目中如</w:t>
      </w:r>
      <w:r>
        <w:rPr>
          <w:rFonts w:ascii="仿宋_GB2312" w:eastAsia="仿宋_GB2312" w:hAnsi="inherit" w:hint="eastAsia"/>
          <w:sz w:val="32"/>
          <w:szCs w:val="32"/>
        </w:rPr>
        <w:t>涉及：股权转让、股权质押、土地质押、长期租用等</w:t>
      </w:r>
      <w:r>
        <w:rPr>
          <w:rFonts w:ascii="仿宋_GB2312" w:eastAsia="仿宋_GB2312" w:hAnsi="宋体" w:cs="仿宋_GB2312" w:hint="eastAsia"/>
          <w:color w:val="000000"/>
          <w:kern w:val="0"/>
          <w:sz w:val="32"/>
          <w:szCs w:val="32"/>
        </w:rPr>
        <w:t>“</w:t>
      </w:r>
      <w:r>
        <w:rPr>
          <w:rFonts w:ascii="仿宋_GB2312" w:eastAsia="仿宋_GB2312" w:hAnsi="inherit" w:hint="eastAsia"/>
          <w:sz w:val="32"/>
          <w:szCs w:val="32"/>
        </w:rPr>
        <w:t>申请人与他人之间重大利益关系</w:t>
      </w:r>
      <w:r>
        <w:rPr>
          <w:rFonts w:ascii="仿宋_GB2312" w:eastAsia="仿宋_GB2312" w:hAnsi="宋体" w:cs="仿宋_GB2312" w:hint="eastAsia"/>
          <w:color w:val="000000"/>
          <w:kern w:val="0"/>
          <w:sz w:val="32"/>
          <w:szCs w:val="32"/>
        </w:rPr>
        <w:t>重要事项”的，企业应在申报资料中一并予以披露。</w:t>
      </w:r>
    </w:p>
    <w:p w:rsidR="00ED613B" w:rsidRDefault="0038650F">
      <w:pPr>
        <w:widowControl/>
        <w:spacing w:afterLines="0" w:line="240" w:lineRule="auto"/>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（二）涉及规划审批中其他相关审批要求的，原则按</w:t>
      </w:r>
      <w:r>
        <w:rPr>
          <w:rFonts w:ascii="仿宋_GB2312" w:eastAsia="仿宋_GB2312" w:hAnsi="inherit" w:hint="eastAsia"/>
          <w:sz w:val="32"/>
          <w:szCs w:val="32"/>
        </w:rPr>
        <w:t>《</w:t>
      </w:r>
      <w:r>
        <w:rPr>
          <w:rFonts w:ascii="仿宋_GB2312" w:eastAsia="仿宋_GB2312" w:hAnsi="宋体" w:hint="eastAsia"/>
          <w:sz w:val="32"/>
          <w:szCs w:val="32"/>
        </w:rPr>
        <w:t>关于印发工业用地集约利用审批操作细则的通知》（杭节地办〔2021〕1号）文件中相关要求执行。</w:t>
      </w:r>
    </w:p>
    <w:p w:rsidR="00ED613B" w:rsidRDefault="0038650F">
      <w:pPr>
        <w:widowControl/>
        <w:spacing w:afterLines="0" w:line="240" w:lineRule="auto"/>
        <w:ind w:firstLine="63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本实施办法自2022年  月  日起实施</w:t>
      </w:r>
      <w:r w:rsidR="005528A4">
        <w:rPr>
          <w:rFonts w:ascii="仿宋_GB2312" w:eastAsia="仿宋_GB2312" w:hAnsi="宋体" w:cs="仿宋_GB2312" w:hint="eastAsia"/>
          <w:color w:val="000000"/>
          <w:kern w:val="0"/>
          <w:sz w:val="32"/>
          <w:szCs w:val="32"/>
        </w:rPr>
        <w:t>（发布之日起30日后）</w:t>
      </w:r>
      <w:r>
        <w:rPr>
          <w:rFonts w:ascii="仿宋_GB2312" w:eastAsia="仿宋_GB2312" w:hAnsi="宋体" w:cs="仿宋_GB2312" w:hint="eastAsia"/>
          <w:color w:val="000000"/>
          <w:kern w:val="0"/>
          <w:sz w:val="32"/>
          <w:szCs w:val="32"/>
        </w:rPr>
        <w:t>。</w:t>
      </w:r>
    </w:p>
    <w:p w:rsidR="00ED613B" w:rsidRDefault="00ED613B">
      <w:pPr>
        <w:widowControl/>
        <w:spacing w:afterLines="0" w:line="240" w:lineRule="auto"/>
        <w:ind w:firstLine="630"/>
        <w:rPr>
          <w:rFonts w:ascii="仿宋_GB2312" w:eastAsia="仿宋_GB2312" w:hAnsi="宋体" w:cs="仿宋_GB2312"/>
          <w:color w:val="000000"/>
          <w:kern w:val="0"/>
          <w:sz w:val="32"/>
          <w:szCs w:val="32"/>
        </w:rPr>
      </w:pPr>
    </w:p>
    <w:p w:rsidR="00ED613B" w:rsidRDefault="00ED613B">
      <w:pPr>
        <w:widowControl/>
        <w:spacing w:afterLines="0" w:line="240" w:lineRule="auto"/>
        <w:rPr>
          <w:rFonts w:ascii="仿宋_GB2312" w:eastAsia="仿宋_GB2312" w:hAnsi="宋体" w:cs="仿宋_GB2312"/>
          <w:color w:val="000000"/>
          <w:kern w:val="0"/>
          <w:sz w:val="32"/>
          <w:szCs w:val="32"/>
        </w:rPr>
      </w:pPr>
    </w:p>
    <w:p w:rsidR="00ED613B" w:rsidRDefault="0038650F">
      <w:pPr>
        <w:widowControl/>
        <w:spacing w:afterLines="0" w:line="240" w:lineRule="auto"/>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 xml:space="preserve">             </w:t>
      </w:r>
    </w:p>
    <w:p w:rsidR="00ED613B" w:rsidRDefault="0038650F">
      <w:pPr>
        <w:widowControl/>
        <w:spacing w:afterLines="0" w:line="240" w:lineRule="auto"/>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 xml:space="preserve">                     </w:t>
      </w:r>
      <w:r w:rsidR="00102F84">
        <w:rPr>
          <w:rFonts w:ascii="仿宋_GB2312" w:eastAsia="仿宋_GB2312" w:hAnsi="宋体" w:cs="仿宋_GB2312" w:hint="eastAsia"/>
          <w:color w:val="000000"/>
          <w:kern w:val="0"/>
          <w:sz w:val="32"/>
          <w:szCs w:val="32"/>
        </w:rPr>
        <w:t xml:space="preserve">     </w:t>
      </w:r>
      <w:r>
        <w:rPr>
          <w:rFonts w:ascii="仿宋_GB2312" w:eastAsia="仿宋_GB2312" w:hAnsi="宋体" w:cs="仿宋_GB2312" w:hint="eastAsia"/>
          <w:color w:val="000000"/>
          <w:kern w:val="0"/>
          <w:sz w:val="32"/>
          <w:szCs w:val="32"/>
        </w:rPr>
        <w:t xml:space="preserve">  二O二二年    月    日</w:t>
      </w:r>
    </w:p>
    <w:sectPr w:rsidR="00ED613B" w:rsidSect="00ED613B">
      <w:headerReference w:type="even" r:id="rId7"/>
      <w:headerReference w:type="default" r:id="rId8"/>
      <w:footerReference w:type="even" r:id="rId9"/>
      <w:footerReference w:type="default" r:id="rId10"/>
      <w:headerReference w:type="first" r:id="rId11"/>
      <w:footerReference w:type="first" r:id="rId12"/>
      <w:pgSz w:w="11906" w:h="16838"/>
      <w:pgMar w:top="896" w:right="1474" w:bottom="896"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B5B" w:rsidRDefault="00590B5B" w:rsidP="00BB0B10">
      <w:pPr>
        <w:spacing w:after="240" w:line="240" w:lineRule="auto"/>
      </w:pPr>
      <w:r>
        <w:separator/>
      </w:r>
    </w:p>
  </w:endnote>
  <w:endnote w:type="continuationSeparator" w:id="1">
    <w:p w:rsidR="00590B5B" w:rsidRDefault="00590B5B" w:rsidP="00BB0B10">
      <w:pPr>
        <w:spacing w:after="24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汉仪仿宋KW"/>
    <w:panose1 w:val="02010609030101010101"/>
    <w:charset w:val="86"/>
    <w:family w:val="modern"/>
    <w:pitch w:val="fixed"/>
    <w:sig w:usb0="00000001" w:usb1="080E0000" w:usb2="00000010" w:usb3="00000000" w:csb0="00040000" w:csb1="00000000"/>
  </w:font>
  <w:font w:name="方正小标宋简体">
    <w:altName w:val="汉仪书宋二KW"/>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inherit">
    <w:altName w:val="Times New Roman"/>
    <w:charset w:val="00"/>
    <w:family w:val="roman"/>
    <w:pitch w:val="default"/>
    <w:sig w:usb0="00000000" w:usb1="00000000" w:usb2="00000000" w:usb3="00000000" w:csb0="00040001" w:csb1="00000000"/>
  </w:font>
  <w:font w:name="楷体_GB2312">
    <w:altName w:val="汉仪楷体KW"/>
    <w:panose1 w:val="02010609030101010101"/>
    <w:charset w:val="86"/>
    <w:family w:val="modern"/>
    <w:pitch w:val="fixed"/>
    <w:sig w:usb0="00000001" w:usb1="080E0000" w:usb2="0000001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华文仿宋">
    <w:altName w:val="汉仪仿宋KW"/>
    <w:panose1 w:val="02010600040101010101"/>
    <w:charset w:val="86"/>
    <w:family w:val="auto"/>
    <w:pitch w:val="default"/>
    <w:sig w:usb0="00000000" w:usb1="0000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13B" w:rsidRDefault="00ED613B">
    <w:pPr>
      <w:pStyle w:val="a4"/>
      <w:spacing w:after="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972173"/>
      <w:docPartObj>
        <w:docPartGallery w:val="AutoText"/>
      </w:docPartObj>
    </w:sdtPr>
    <w:sdtContent>
      <w:p w:rsidR="00ED613B" w:rsidRDefault="00AD6B6A">
        <w:pPr>
          <w:pStyle w:val="a4"/>
          <w:spacing w:after="240"/>
          <w:jc w:val="center"/>
        </w:pPr>
        <w:r w:rsidRPr="00AD6B6A">
          <w:fldChar w:fldCharType="begin"/>
        </w:r>
        <w:r w:rsidR="0038650F">
          <w:instrText xml:space="preserve"> PAGE   \* MERGEFORMAT </w:instrText>
        </w:r>
        <w:r w:rsidRPr="00AD6B6A">
          <w:fldChar w:fldCharType="separate"/>
        </w:r>
        <w:r w:rsidR="005528A4" w:rsidRPr="005528A4">
          <w:rPr>
            <w:noProof/>
            <w:lang w:val="zh-CN"/>
          </w:rPr>
          <w:t>7</w:t>
        </w:r>
        <w:r>
          <w:rPr>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13B" w:rsidRDefault="00ED613B">
    <w:pPr>
      <w:pStyle w:val="a4"/>
      <w:spacing w:after="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B5B" w:rsidRDefault="00590B5B" w:rsidP="00BB0B10">
      <w:pPr>
        <w:spacing w:after="240" w:line="240" w:lineRule="auto"/>
      </w:pPr>
      <w:r>
        <w:separator/>
      </w:r>
    </w:p>
  </w:footnote>
  <w:footnote w:type="continuationSeparator" w:id="1">
    <w:p w:rsidR="00590B5B" w:rsidRDefault="00590B5B" w:rsidP="00BB0B10">
      <w:pPr>
        <w:spacing w:after="24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13B" w:rsidRDefault="00ED613B">
    <w:pPr>
      <w:pStyle w:val="a5"/>
      <w:spacing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13B" w:rsidRDefault="00ED613B">
    <w:pPr>
      <w:pStyle w:val="a5"/>
      <w:spacing w:after="2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13B" w:rsidRDefault="00ED613B">
    <w:pPr>
      <w:pStyle w:val="a5"/>
      <w:spacing w:after="2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D611DD0"/>
    <w:rsid w:val="EAFF757A"/>
    <w:rsid w:val="0000565E"/>
    <w:rsid w:val="0008396D"/>
    <w:rsid w:val="000E5B60"/>
    <w:rsid w:val="000E6F3E"/>
    <w:rsid w:val="00102F84"/>
    <w:rsid w:val="00135E19"/>
    <w:rsid w:val="00156AD5"/>
    <w:rsid w:val="00185617"/>
    <w:rsid w:val="00190FC5"/>
    <w:rsid w:val="001919FE"/>
    <w:rsid w:val="00191D89"/>
    <w:rsid w:val="001D04FE"/>
    <w:rsid w:val="001F6B17"/>
    <w:rsid w:val="002226C2"/>
    <w:rsid w:val="002564A7"/>
    <w:rsid w:val="0027250F"/>
    <w:rsid w:val="00281062"/>
    <w:rsid w:val="00287AA1"/>
    <w:rsid w:val="002A1080"/>
    <w:rsid w:val="002A70BF"/>
    <w:rsid w:val="002B14C6"/>
    <w:rsid w:val="002C73C5"/>
    <w:rsid w:val="002E0900"/>
    <w:rsid w:val="003078E6"/>
    <w:rsid w:val="00383A23"/>
    <w:rsid w:val="00384766"/>
    <w:rsid w:val="0038650F"/>
    <w:rsid w:val="003C3CB5"/>
    <w:rsid w:val="00401C8D"/>
    <w:rsid w:val="004370D2"/>
    <w:rsid w:val="00455FC8"/>
    <w:rsid w:val="00467A60"/>
    <w:rsid w:val="004D6D31"/>
    <w:rsid w:val="004F638B"/>
    <w:rsid w:val="00504746"/>
    <w:rsid w:val="00515E49"/>
    <w:rsid w:val="005528A4"/>
    <w:rsid w:val="00590B5B"/>
    <w:rsid w:val="005A2595"/>
    <w:rsid w:val="005D5C99"/>
    <w:rsid w:val="005E24D5"/>
    <w:rsid w:val="006040DC"/>
    <w:rsid w:val="006043A8"/>
    <w:rsid w:val="006624C9"/>
    <w:rsid w:val="006A1A6D"/>
    <w:rsid w:val="006F2528"/>
    <w:rsid w:val="007B4DC4"/>
    <w:rsid w:val="007C3BDA"/>
    <w:rsid w:val="007D6ABC"/>
    <w:rsid w:val="007E4598"/>
    <w:rsid w:val="008754B7"/>
    <w:rsid w:val="009456B3"/>
    <w:rsid w:val="009A48E7"/>
    <w:rsid w:val="009C186A"/>
    <w:rsid w:val="009E730E"/>
    <w:rsid w:val="009F7AAD"/>
    <w:rsid w:val="00A078B6"/>
    <w:rsid w:val="00A50CEF"/>
    <w:rsid w:val="00A604EB"/>
    <w:rsid w:val="00A72845"/>
    <w:rsid w:val="00A7611A"/>
    <w:rsid w:val="00AD6B6A"/>
    <w:rsid w:val="00B2547A"/>
    <w:rsid w:val="00B40D9E"/>
    <w:rsid w:val="00B93B2B"/>
    <w:rsid w:val="00BA30E3"/>
    <w:rsid w:val="00BA562E"/>
    <w:rsid w:val="00BB0B10"/>
    <w:rsid w:val="00BC070B"/>
    <w:rsid w:val="00BC573E"/>
    <w:rsid w:val="00BF7A8C"/>
    <w:rsid w:val="00CB2F92"/>
    <w:rsid w:val="00CF7D0D"/>
    <w:rsid w:val="00D13E86"/>
    <w:rsid w:val="00D15CF1"/>
    <w:rsid w:val="00D640AC"/>
    <w:rsid w:val="00D648DD"/>
    <w:rsid w:val="00DB58FD"/>
    <w:rsid w:val="00DC7F2D"/>
    <w:rsid w:val="00E64BAC"/>
    <w:rsid w:val="00EB519E"/>
    <w:rsid w:val="00ED352B"/>
    <w:rsid w:val="00ED613B"/>
    <w:rsid w:val="00EF6136"/>
    <w:rsid w:val="00F05C66"/>
    <w:rsid w:val="00F07ED2"/>
    <w:rsid w:val="00F214B1"/>
    <w:rsid w:val="00F7246A"/>
    <w:rsid w:val="00F8155B"/>
    <w:rsid w:val="00FB3165"/>
    <w:rsid w:val="00FC2DD5"/>
    <w:rsid w:val="00FC42BE"/>
    <w:rsid w:val="00FD47A5"/>
    <w:rsid w:val="00FD7912"/>
    <w:rsid w:val="020E10DF"/>
    <w:rsid w:val="0CE57634"/>
    <w:rsid w:val="1BFFE9B3"/>
    <w:rsid w:val="21B17D8C"/>
    <w:rsid w:val="258C599E"/>
    <w:rsid w:val="37F7E6E8"/>
    <w:rsid w:val="43D1659C"/>
    <w:rsid w:val="46DF77F1"/>
    <w:rsid w:val="4CDA5B61"/>
    <w:rsid w:val="4F735FAE"/>
    <w:rsid w:val="5CAB4A6B"/>
    <w:rsid w:val="60103BC4"/>
    <w:rsid w:val="60A62FEE"/>
    <w:rsid w:val="64893638"/>
    <w:rsid w:val="6D611DD0"/>
    <w:rsid w:val="6F0E5A94"/>
    <w:rsid w:val="71D55951"/>
    <w:rsid w:val="72E415CF"/>
    <w:rsid w:val="75037EA0"/>
    <w:rsid w:val="7FFFBC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613B"/>
    <w:pPr>
      <w:widowControl w:val="0"/>
      <w:spacing w:afterLines="100" w:line="58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rsid w:val="00ED613B"/>
    <w:pPr>
      <w:autoSpaceDE w:val="0"/>
      <w:autoSpaceDN w:val="0"/>
      <w:spacing w:afterLines="0" w:line="240" w:lineRule="auto"/>
      <w:ind w:left="277"/>
      <w:jc w:val="left"/>
    </w:pPr>
    <w:rPr>
      <w:rFonts w:ascii="仿宋_GB2312" w:eastAsia="仿宋_GB2312" w:hAnsi="仿宋_GB2312" w:cs="仿宋_GB2312" w:hint="eastAsia"/>
      <w:kern w:val="0"/>
      <w:sz w:val="32"/>
      <w:szCs w:val="32"/>
      <w:lang w:val="zh-CN" w:bidi="zh-CN"/>
    </w:rPr>
  </w:style>
  <w:style w:type="paragraph" w:styleId="a4">
    <w:name w:val="footer"/>
    <w:basedOn w:val="a"/>
    <w:link w:val="Char"/>
    <w:uiPriority w:val="99"/>
    <w:qFormat/>
    <w:rsid w:val="00ED613B"/>
    <w:pPr>
      <w:tabs>
        <w:tab w:val="center" w:pos="4153"/>
        <w:tab w:val="right" w:pos="8306"/>
      </w:tabs>
      <w:snapToGrid w:val="0"/>
      <w:jc w:val="left"/>
    </w:pPr>
    <w:rPr>
      <w:sz w:val="18"/>
    </w:rPr>
  </w:style>
  <w:style w:type="paragraph" w:styleId="a5">
    <w:name w:val="header"/>
    <w:basedOn w:val="a"/>
    <w:link w:val="Char0"/>
    <w:uiPriority w:val="99"/>
    <w:qFormat/>
    <w:rsid w:val="00ED613B"/>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HTML">
    <w:name w:val="HTML Preformatted"/>
    <w:basedOn w:val="a"/>
    <w:link w:val="HTMLChar"/>
    <w:unhideWhenUsed/>
    <w:qFormat/>
    <w:rsid w:val="00ED613B"/>
    <w:pPr>
      <w:widowControl/>
      <w:spacing w:afterLines="0" w:line="240" w:lineRule="auto"/>
      <w:jc w:val="left"/>
    </w:pPr>
    <w:rPr>
      <w:rFonts w:ascii="宋体" w:eastAsia="宋体" w:hAnsi="宋体" w:cs="宋体"/>
      <w:sz w:val="24"/>
    </w:rPr>
  </w:style>
  <w:style w:type="character" w:customStyle="1" w:styleId="Char">
    <w:name w:val="页脚 Char"/>
    <w:basedOn w:val="a0"/>
    <w:link w:val="a4"/>
    <w:uiPriority w:val="99"/>
    <w:rsid w:val="00ED613B"/>
    <w:rPr>
      <w:kern w:val="2"/>
      <w:sz w:val="18"/>
      <w:szCs w:val="22"/>
    </w:rPr>
  </w:style>
  <w:style w:type="paragraph" w:styleId="a6">
    <w:name w:val="No Spacing"/>
    <w:link w:val="Char2"/>
    <w:uiPriority w:val="1"/>
    <w:qFormat/>
    <w:rsid w:val="00ED613B"/>
    <w:rPr>
      <w:sz w:val="22"/>
      <w:szCs w:val="22"/>
    </w:rPr>
  </w:style>
  <w:style w:type="character" w:customStyle="1" w:styleId="Char2">
    <w:name w:val="无间隔 Char"/>
    <w:basedOn w:val="a0"/>
    <w:link w:val="a6"/>
    <w:uiPriority w:val="1"/>
    <w:rsid w:val="00ED613B"/>
    <w:rPr>
      <w:sz w:val="22"/>
      <w:szCs w:val="22"/>
    </w:rPr>
  </w:style>
  <w:style w:type="character" w:customStyle="1" w:styleId="Char0">
    <w:name w:val="页眉 Char"/>
    <w:basedOn w:val="a0"/>
    <w:link w:val="a5"/>
    <w:uiPriority w:val="99"/>
    <w:rsid w:val="00ED613B"/>
    <w:rPr>
      <w:kern w:val="2"/>
      <w:sz w:val="18"/>
      <w:szCs w:val="22"/>
    </w:rPr>
  </w:style>
  <w:style w:type="character" w:customStyle="1" w:styleId="NormalCharacter">
    <w:name w:val="NormalCharacter"/>
    <w:semiHidden/>
    <w:rsid w:val="00ED613B"/>
  </w:style>
  <w:style w:type="character" w:customStyle="1" w:styleId="HTMLChar">
    <w:name w:val="HTML 预设格式 Char"/>
    <w:basedOn w:val="a0"/>
    <w:link w:val="HTML"/>
    <w:rsid w:val="00ED613B"/>
    <w:rPr>
      <w:rFonts w:ascii="宋体" w:eastAsia="宋体" w:hAnsi="宋体" w:cs="宋体"/>
      <w:kern w:val="2"/>
      <w:sz w:val="24"/>
      <w:szCs w:val="22"/>
    </w:rPr>
  </w:style>
  <w:style w:type="character" w:customStyle="1" w:styleId="Char3">
    <w:name w:val="正文文本 Char"/>
    <w:basedOn w:val="a0"/>
    <w:link w:val="a3"/>
    <w:rsid w:val="00ED613B"/>
    <w:rPr>
      <w:rFonts w:ascii="仿宋_GB2312" w:eastAsia="仿宋_GB2312" w:hAnsi="仿宋_GB2312" w:cs="仿宋_GB2312"/>
      <w:sz w:val="32"/>
      <w:szCs w:val="32"/>
      <w:lang w:val="zh-CN" w:bidi="zh-CN"/>
    </w:rPr>
  </w:style>
  <w:style w:type="character" w:customStyle="1" w:styleId="Char1">
    <w:name w:val="正文文本 Char1"/>
    <w:basedOn w:val="a0"/>
    <w:link w:val="a3"/>
    <w:rsid w:val="00ED613B"/>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492</Words>
  <Characters>2807</Characters>
  <Application>Microsoft Office Word</Application>
  <DocSecurity>0</DocSecurity>
  <Lines>23</Lines>
  <Paragraphs>6</Paragraphs>
  <ScaleCrop>false</ScaleCrop>
  <Company>神州网信技术有限公司</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11</cp:revision>
  <cp:lastPrinted>2021-12-29T17:03:00Z</cp:lastPrinted>
  <dcterms:created xsi:type="dcterms:W3CDTF">2021-11-15T16:08:00Z</dcterms:created>
  <dcterms:modified xsi:type="dcterms:W3CDTF">2022-01-18T06:35:00Z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C81D60EE145E4940A7C3B7F88E31B012</vt:lpwstr>
  </property>
  <property fmtid="{D5CDD505-2E9C-101B-9397-08002B2CF9AE}" pid="4" name="woTemplateTypoMode" linkTarget="0">
    <vt:lpwstr>web</vt:lpwstr>
  </property>
  <property fmtid="{D5CDD505-2E9C-101B-9397-08002B2CF9AE}" pid="5" name="woTemplate" linkTarget="0">
    <vt:i4>1</vt:i4>
  </property>
</Properties>
</file>