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FC" w:rsidRDefault="003C4D7A">
      <w:pPr>
        <w:jc w:val="left"/>
        <w:rPr>
          <w:rFonts w:ascii="黑体" w:eastAsia="黑体" w:hAnsi="黑体"/>
          <w:szCs w:val="32"/>
        </w:rPr>
      </w:pPr>
      <w:bookmarkStart w:id="0" w:name="filename"/>
      <w:r>
        <w:rPr>
          <w:rFonts w:ascii="黑体" w:eastAsia="黑体" w:hAnsi="黑体" w:hint="eastAsia"/>
          <w:szCs w:val="32"/>
        </w:rPr>
        <w:t>附件</w:t>
      </w:r>
      <w:r w:rsidR="008E54DE">
        <w:rPr>
          <w:rFonts w:ascii="黑体" w:eastAsia="黑体" w:hAnsi="黑体" w:hint="eastAsia"/>
          <w:szCs w:val="32"/>
        </w:rPr>
        <w:t>7</w:t>
      </w:r>
      <w:r>
        <w:rPr>
          <w:rFonts w:ascii="黑体" w:eastAsia="黑体" w:hAnsi="黑体" w:hint="eastAsia"/>
          <w:szCs w:val="32"/>
        </w:rPr>
        <w:t>-1</w:t>
      </w:r>
    </w:p>
    <w:bookmarkEnd w:id="0"/>
    <w:p w:rsidR="005C55FC" w:rsidRDefault="00574691">
      <w:pPr>
        <w:spacing w:line="640" w:lineRule="exact"/>
        <w:ind w:firstLineChars="200" w:firstLine="801"/>
        <w:rPr>
          <w:rFonts w:ascii="华文中宋" w:eastAsia="华文中宋" w:hAnsi="华文中宋"/>
          <w:b/>
          <w:sz w:val="40"/>
          <w:szCs w:val="40"/>
        </w:rPr>
      </w:pPr>
      <w:r>
        <w:rPr>
          <w:rFonts w:ascii="华文中宋" w:eastAsia="华文中宋" w:hAnsi="华文中宋" w:hint="eastAsia"/>
          <w:b/>
          <w:sz w:val="40"/>
          <w:szCs w:val="40"/>
        </w:rPr>
        <w:t>上城区</w:t>
      </w:r>
      <w:r w:rsidR="003C4D7A">
        <w:rPr>
          <w:rFonts w:ascii="华文中宋" w:eastAsia="华文中宋" w:hAnsi="华文中宋" w:hint="eastAsia"/>
          <w:b/>
          <w:sz w:val="40"/>
          <w:szCs w:val="40"/>
        </w:rPr>
        <w:t>财政支出绩效评价结果反馈书</w:t>
      </w:r>
    </w:p>
    <w:p w:rsidR="005C55FC" w:rsidRDefault="005C55FC">
      <w:pPr>
        <w:spacing w:line="200" w:lineRule="atLeast"/>
        <w:rPr>
          <w:rFonts w:ascii="仿宋_GB2312"/>
          <w:w w:val="90"/>
          <w:sz w:val="24"/>
        </w:rPr>
      </w:pPr>
    </w:p>
    <w:p w:rsidR="005C55FC" w:rsidRPr="007D1608" w:rsidRDefault="003C4D7A">
      <w:pPr>
        <w:spacing w:line="200" w:lineRule="atLeast"/>
        <w:rPr>
          <w:rFonts w:ascii="仿宋_GB2312"/>
          <w:w w:val="90"/>
          <w:sz w:val="24"/>
        </w:rPr>
      </w:pPr>
      <w:r>
        <w:rPr>
          <w:rFonts w:ascii="仿宋_GB2312" w:hint="eastAsia"/>
          <w:w w:val="90"/>
          <w:sz w:val="24"/>
        </w:rPr>
        <w:t>评价项目:杭州东站枢纽管理委员会</w:t>
      </w:r>
      <w:r w:rsidR="008E54DE">
        <w:rPr>
          <w:rFonts w:ascii="仿宋_GB2312" w:hint="eastAsia"/>
          <w:w w:val="90"/>
          <w:sz w:val="24"/>
        </w:rPr>
        <w:t>2</w:t>
      </w:r>
      <w:r w:rsidR="008E54DE" w:rsidRPr="007D1608">
        <w:rPr>
          <w:rFonts w:ascii="仿宋_GB2312" w:hint="eastAsia"/>
          <w:w w:val="90"/>
          <w:sz w:val="24"/>
        </w:rPr>
        <w:t>020</w:t>
      </w:r>
      <w:r w:rsidRPr="007D1608">
        <w:rPr>
          <w:rFonts w:ascii="仿宋_GB2312" w:hint="eastAsia"/>
          <w:w w:val="90"/>
          <w:sz w:val="24"/>
        </w:rPr>
        <w:t>年度</w:t>
      </w:r>
      <w:r w:rsidR="008E54DE" w:rsidRPr="007D1608">
        <w:rPr>
          <w:rFonts w:ascii="仿宋_GB2312" w:hint="eastAsia"/>
          <w:w w:val="90"/>
          <w:sz w:val="24"/>
        </w:rPr>
        <w:t>五优车站精细化管理维护费</w:t>
      </w:r>
      <w:r w:rsidRPr="007D1608">
        <w:rPr>
          <w:rFonts w:ascii="仿宋_GB2312" w:hint="eastAsia"/>
          <w:w w:val="90"/>
          <w:sz w:val="24"/>
        </w:rPr>
        <w:t xml:space="preserve"> </w:t>
      </w:r>
    </w:p>
    <w:p w:rsidR="005C55FC" w:rsidRDefault="003C4D7A">
      <w:pPr>
        <w:spacing w:line="200" w:lineRule="atLeast"/>
        <w:rPr>
          <w:rFonts w:ascii="仿宋_GB2312"/>
          <w:w w:val="90"/>
          <w:sz w:val="24"/>
        </w:rPr>
      </w:pPr>
      <w:bookmarkStart w:id="1" w:name="_GoBack"/>
      <w:r w:rsidRPr="00FF5E66">
        <w:rPr>
          <w:rFonts w:ascii="仿宋_GB2312" w:hint="eastAsia"/>
          <w:w w:val="90"/>
          <w:sz w:val="24"/>
        </w:rPr>
        <w:t>编号:202</w:t>
      </w:r>
      <w:r w:rsidR="008E54DE" w:rsidRPr="00FF5E66">
        <w:rPr>
          <w:rFonts w:ascii="仿宋_GB2312" w:hint="eastAsia"/>
          <w:w w:val="90"/>
          <w:sz w:val="24"/>
        </w:rPr>
        <w:t>1</w:t>
      </w:r>
      <w:r w:rsidRPr="00FF5E66">
        <w:rPr>
          <w:rFonts w:ascii="仿宋_GB2312" w:hint="eastAsia"/>
          <w:w w:val="90"/>
          <w:sz w:val="24"/>
        </w:rPr>
        <w:t>-</w:t>
      </w:r>
      <w:r w:rsidR="008E54DE" w:rsidRPr="00FF5E66">
        <w:rPr>
          <w:rFonts w:ascii="仿宋_GB2312" w:hint="eastAsia"/>
          <w:w w:val="90"/>
          <w:sz w:val="24"/>
        </w:rPr>
        <w:t>7 （</w:t>
      </w:r>
      <w:r w:rsidR="00FF5E66" w:rsidRPr="00810ED9">
        <w:rPr>
          <w:rFonts w:ascii="仿宋_GB2312" w:hint="eastAsia"/>
          <w:w w:val="90"/>
          <w:sz w:val="24"/>
        </w:rPr>
        <w:t>〔2021〕</w:t>
      </w:r>
      <w:r w:rsidR="00FF5E66">
        <w:rPr>
          <w:rFonts w:ascii="仿宋_GB2312" w:hint="eastAsia"/>
          <w:w w:val="90"/>
          <w:sz w:val="24"/>
        </w:rPr>
        <w:t>45</w:t>
      </w:r>
      <w:r w:rsidR="00FF5E66" w:rsidRPr="00810ED9">
        <w:rPr>
          <w:rFonts w:ascii="仿宋_GB2312" w:hint="eastAsia"/>
          <w:w w:val="90"/>
          <w:sz w:val="24"/>
        </w:rPr>
        <w:t>号</w:t>
      </w:r>
      <w:r>
        <w:rPr>
          <w:rFonts w:ascii="仿宋_GB2312" w:hint="eastAsia"/>
          <w:w w:val="90"/>
          <w:sz w:val="24"/>
        </w:rPr>
        <w:t>）</w:t>
      </w:r>
    </w:p>
    <w:tbl>
      <w:tblPr>
        <w:tblW w:w="870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1133"/>
        <w:gridCol w:w="2625"/>
        <w:gridCol w:w="1952"/>
        <w:gridCol w:w="2402"/>
      </w:tblGrid>
      <w:tr w:rsidR="005C55FC" w:rsidTr="008E54DE">
        <w:tc>
          <w:tcPr>
            <w:tcW w:w="1729" w:type="dxa"/>
            <w:gridSpan w:val="2"/>
            <w:noWrap/>
            <w:vAlign w:val="center"/>
          </w:tcPr>
          <w:bookmarkEnd w:id="1"/>
          <w:p w:rsidR="005C55FC" w:rsidRDefault="003C4D7A">
            <w:pPr>
              <w:spacing w:line="500" w:lineRule="exact"/>
              <w:rPr>
                <w:rFonts w:ascii="仿宋_GB2312"/>
                <w:sz w:val="24"/>
              </w:rPr>
            </w:pPr>
            <w:r>
              <w:rPr>
                <w:rFonts w:ascii="仿宋_GB2312" w:hint="eastAsia"/>
                <w:sz w:val="24"/>
              </w:rPr>
              <w:t>评价组织机构</w:t>
            </w:r>
          </w:p>
        </w:tc>
        <w:tc>
          <w:tcPr>
            <w:tcW w:w="2625" w:type="dxa"/>
            <w:noWrap/>
            <w:vAlign w:val="center"/>
          </w:tcPr>
          <w:p w:rsidR="005C55FC" w:rsidRDefault="003C4D7A">
            <w:pPr>
              <w:spacing w:line="500" w:lineRule="exact"/>
              <w:rPr>
                <w:rFonts w:ascii="仿宋_GB2312"/>
                <w:sz w:val="24"/>
              </w:rPr>
            </w:pPr>
            <w:r>
              <w:rPr>
                <w:rFonts w:ascii="仿宋_GB2312" w:hint="eastAsia"/>
                <w:sz w:val="24"/>
              </w:rPr>
              <w:t>区财政局</w:t>
            </w:r>
          </w:p>
        </w:tc>
        <w:tc>
          <w:tcPr>
            <w:tcW w:w="1952" w:type="dxa"/>
            <w:noWrap/>
            <w:vAlign w:val="center"/>
          </w:tcPr>
          <w:p w:rsidR="005C55FC" w:rsidRDefault="003C4D7A">
            <w:pPr>
              <w:spacing w:line="500" w:lineRule="exact"/>
              <w:rPr>
                <w:rFonts w:ascii="仿宋_GB2312"/>
                <w:sz w:val="24"/>
              </w:rPr>
            </w:pPr>
            <w:r>
              <w:rPr>
                <w:rFonts w:ascii="仿宋_GB2312" w:hint="eastAsia"/>
                <w:sz w:val="24"/>
              </w:rPr>
              <w:t>项目主管部门</w:t>
            </w:r>
          </w:p>
        </w:tc>
        <w:tc>
          <w:tcPr>
            <w:tcW w:w="2402" w:type="dxa"/>
            <w:noWrap/>
          </w:tcPr>
          <w:p w:rsidR="005C55FC" w:rsidRDefault="003C4D7A" w:rsidP="008E54DE">
            <w:pPr>
              <w:spacing w:line="500" w:lineRule="exact"/>
              <w:rPr>
                <w:rFonts w:ascii="仿宋_GB2312"/>
                <w:sz w:val="24"/>
              </w:rPr>
            </w:pPr>
            <w:r>
              <w:rPr>
                <w:rFonts w:ascii="仿宋_GB2312" w:hint="eastAsia"/>
                <w:sz w:val="24"/>
              </w:rPr>
              <w:t>区</w:t>
            </w:r>
            <w:r w:rsidR="008E54DE">
              <w:rPr>
                <w:rFonts w:ascii="仿宋_GB2312" w:hint="eastAsia"/>
                <w:sz w:val="24"/>
              </w:rPr>
              <w:t>东站枢纽管理委员会</w:t>
            </w:r>
          </w:p>
        </w:tc>
      </w:tr>
      <w:tr w:rsidR="005C55FC" w:rsidTr="008E54DE">
        <w:trPr>
          <w:trHeight w:val="530"/>
        </w:trPr>
        <w:tc>
          <w:tcPr>
            <w:tcW w:w="1729" w:type="dxa"/>
            <w:gridSpan w:val="2"/>
            <w:noWrap/>
          </w:tcPr>
          <w:p w:rsidR="005C55FC" w:rsidRDefault="003C4D7A">
            <w:pPr>
              <w:spacing w:line="500" w:lineRule="exact"/>
              <w:rPr>
                <w:rFonts w:ascii="仿宋_GB2312"/>
                <w:sz w:val="24"/>
              </w:rPr>
            </w:pPr>
            <w:r>
              <w:rPr>
                <w:rFonts w:ascii="仿宋_GB2312" w:hint="eastAsia"/>
                <w:sz w:val="24"/>
              </w:rPr>
              <w:t>评价机构</w:t>
            </w:r>
          </w:p>
        </w:tc>
        <w:tc>
          <w:tcPr>
            <w:tcW w:w="2625" w:type="dxa"/>
            <w:noWrap/>
            <w:vAlign w:val="center"/>
          </w:tcPr>
          <w:p w:rsidR="005C55FC" w:rsidRPr="008E54DE" w:rsidRDefault="008E54DE" w:rsidP="008E54DE">
            <w:pPr>
              <w:spacing w:line="348" w:lineRule="auto"/>
              <w:jc w:val="center"/>
              <w:rPr>
                <w:rFonts w:ascii="仿宋" w:eastAsia="仿宋" w:hAnsi="仿宋" w:cs="仿宋"/>
                <w:sz w:val="28"/>
                <w:szCs w:val="28"/>
              </w:rPr>
            </w:pPr>
            <w:r w:rsidRPr="008E54DE">
              <w:rPr>
                <w:rFonts w:ascii="仿宋_GB2312" w:hint="eastAsia"/>
                <w:sz w:val="24"/>
              </w:rPr>
              <w:t>浙江五联会计师事务所有限公司</w:t>
            </w:r>
          </w:p>
        </w:tc>
        <w:tc>
          <w:tcPr>
            <w:tcW w:w="1952" w:type="dxa"/>
            <w:noWrap/>
          </w:tcPr>
          <w:p w:rsidR="005C55FC" w:rsidRDefault="003C4D7A">
            <w:pPr>
              <w:spacing w:line="500" w:lineRule="exact"/>
              <w:rPr>
                <w:rFonts w:ascii="仿宋_GB2312"/>
                <w:sz w:val="24"/>
              </w:rPr>
            </w:pPr>
            <w:r>
              <w:rPr>
                <w:rFonts w:ascii="仿宋_GB2312" w:hint="eastAsia"/>
                <w:sz w:val="24"/>
              </w:rPr>
              <w:t>评价时间</w:t>
            </w:r>
          </w:p>
        </w:tc>
        <w:tc>
          <w:tcPr>
            <w:tcW w:w="2402" w:type="dxa"/>
            <w:noWrap/>
          </w:tcPr>
          <w:p w:rsidR="005C55FC" w:rsidRDefault="003C4D7A" w:rsidP="008E54DE">
            <w:pPr>
              <w:spacing w:line="500" w:lineRule="exact"/>
              <w:rPr>
                <w:rFonts w:ascii="仿宋_GB2312"/>
                <w:spacing w:val="-20"/>
                <w:sz w:val="24"/>
              </w:rPr>
            </w:pPr>
            <w:r>
              <w:rPr>
                <w:rFonts w:ascii="仿宋_GB2312" w:hint="eastAsia"/>
                <w:spacing w:val="-20"/>
                <w:sz w:val="24"/>
              </w:rPr>
              <w:t>202</w:t>
            </w:r>
            <w:r w:rsidR="008E54DE">
              <w:rPr>
                <w:rFonts w:ascii="仿宋_GB2312" w:hint="eastAsia"/>
                <w:spacing w:val="-20"/>
                <w:sz w:val="24"/>
              </w:rPr>
              <w:t>1</w:t>
            </w:r>
            <w:r>
              <w:rPr>
                <w:rFonts w:ascii="仿宋_GB2312" w:hint="eastAsia"/>
                <w:spacing w:val="-20"/>
                <w:sz w:val="24"/>
              </w:rPr>
              <w:t>年</w:t>
            </w:r>
            <w:r w:rsidR="008E54DE">
              <w:rPr>
                <w:rFonts w:ascii="仿宋_GB2312" w:hint="eastAsia"/>
                <w:spacing w:val="-20"/>
                <w:sz w:val="24"/>
              </w:rPr>
              <w:t>11</w:t>
            </w:r>
            <w:r>
              <w:rPr>
                <w:rFonts w:ascii="仿宋_GB2312" w:hint="eastAsia"/>
                <w:spacing w:val="-20"/>
                <w:sz w:val="24"/>
              </w:rPr>
              <w:t>月</w:t>
            </w:r>
            <w:r>
              <w:rPr>
                <w:rFonts w:ascii="仿宋_GB2312"/>
                <w:spacing w:val="-20"/>
                <w:sz w:val="24"/>
              </w:rPr>
              <w:t>—</w:t>
            </w:r>
            <w:r w:rsidR="008E54DE">
              <w:rPr>
                <w:rFonts w:ascii="仿宋_GB2312" w:hint="eastAsia"/>
                <w:spacing w:val="-20"/>
                <w:sz w:val="24"/>
              </w:rPr>
              <w:t>12</w:t>
            </w:r>
            <w:r>
              <w:rPr>
                <w:rFonts w:ascii="仿宋_GB2312" w:hint="eastAsia"/>
                <w:spacing w:val="-20"/>
                <w:sz w:val="24"/>
              </w:rPr>
              <w:t>月</w:t>
            </w:r>
          </w:p>
        </w:tc>
      </w:tr>
      <w:tr w:rsidR="005C55FC" w:rsidTr="008E54DE">
        <w:trPr>
          <w:trHeight w:val="370"/>
        </w:trPr>
        <w:tc>
          <w:tcPr>
            <w:tcW w:w="1729" w:type="dxa"/>
            <w:gridSpan w:val="2"/>
            <w:noWrap/>
          </w:tcPr>
          <w:p w:rsidR="005C55FC" w:rsidRDefault="003C4D7A">
            <w:pPr>
              <w:spacing w:line="500" w:lineRule="exact"/>
              <w:rPr>
                <w:rFonts w:ascii="仿宋_GB2312"/>
                <w:sz w:val="24"/>
              </w:rPr>
            </w:pPr>
            <w:r>
              <w:rPr>
                <w:rFonts w:ascii="仿宋_GB2312" w:hint="eastAsia"/>
                <w:sz w:val="24"/>
              </w:rPr>
              <w:t>评价分值</w:t>
            </w:r>
          </w:p>
        </w:tc>
        <w:tc>
          <w:tcPr>
            <w:tcW w:w="2625" w:type="dxa"/>
            <w:noWrap/>
          </w:tcPr>
          <w:p w:rsidR="005C55FC" w:rsidRDefault="008E54DE">
            <w:pPr>
              <w:spacing w:line="500" w:lineRule="exact"/>
              <w:rPr>
                <w:rFonts w:ascii="仿宋_GB2312"/>
                <w:sz w:val="24"/>
              </w:rPr>
            </w:pPr>
            <w:r>
              <w:rPr>
                <w:rFonts w:ascii="仿宋_GB2312" w:hint="eastAsia"/>
                <w:sz w:val="24"/>
              </w:rPr>
              <w:t>93.2</w:t>
            </w:r>
            <w:r w:rsidR="003C4D7A">
              <w:rPr>
                <w:rFonts w:ascii="仿宋_GB2312" w:hint="eastAsia"/>
                <w:sz w:val="24"/>
              </w:rPr>
              <w:t>分</w:t>
            </w:r>
          </w:p>
        </w:tc>
        <w:tc>
          <w:tcPr>
            <w:tcW w:w="1952" w:type="dxa"/>
            <w:noWrap/>
          </w:tcPr>
          <w:p w:rsidR="005C55FC" w:rsidRDefault="003C4D7A">
            <w:pPr>
              <w:spacing w:line="500" w:lineRule="exact"/>
              <w:rPr>
                <w:rFonts w:ascii="仿宋_GB2312"/>
                <w:sz w:val="24"/>
              </w:rPr>
            </w:pPr>
            <w:r>
              <w:rPr>
                <w:rFonts w:ascii="仿宋_GB2312" w:hint="eastAsia"/>
                <w:sz w:val="24"/>
              </w:rPr>
              <w:t>评价结论</w:t>
            </w:r>
          </w:p>
        </w:tc>
        <w:tc>
          <w:tcPr>
            <w:tcW w:w="2402" w:type="dxa"/>
            <w:noWrap/>
          </w:tcPr>
          <w:p w:rsidR="005C55FC" w:rsidRDefault="003C4D7A">
            <w:pPr>
              <w:spacing w:line="500" w:lineRule="exact"/>
              <w:rPr>
                <w:rFonts w:ascii="仿宋_GB2312"/>
                <w:sz w:val="24"/>
              </w:rPr>
            </w:pPr>
            <w:r>
              <w:rPr>
                <w:rFonts w:ascii="仿宋_GB2312" w:hint="eastAsia"/>
                <w:sz w:val="24"/>
              </w:rPr>
              <w:t>优</w:t>
            </w:r>
          </w:p>
        </w:tc>
      </w:tr>
      <w:tr w:rsidR="005C55FC">
        <w:trPr>
          <w:cantSplit/>
          <w:trHeight w:val="2136"/>
        </w:trPr>
        <w:tc>
          <w:tcPr>
            <w:tcW w:w="596" w:type="dxa"/>
            <w:noWrap/>
            <w:vAlign w:val="center"/>
          </w:tcPr>
          <w:p w:rsidR="005C55FC" w:rsidRDefault="003C4D7A">
            <w:pPr>
              <w:spacing w:line="280" w:lineRule="exact"/>
              <w:rPr>
                <w:rFonts w:ascii="仿宋_GB2312"/>
                <w:sz w:val="28"/>
                <w:szCs w:val="28"/>
              </w:rPr>
            </w:pPr>
            <w:r>
              <w:rPr>
                <w:rFonts w:ascii="仿宋_GB2312" w:hint="eastAsia"/>
                <w:sz w:val="28"/>
                <w:szCs w:val="28"/>
              </w:rPr>
              <w:t>主</w:t>
            </w:r>
          </w:p>
          <w:p w:rsidR="005C55FC" w:rsidRDefault="003C4D7A">
            <w:pPr>
              <w:spacing w:line="280" w:lineRule="exact"/>
              <w:rPr>
                <w:rFonts w:ascii="仿宋_GB2312"/>
                <w:sz w:val="28"/>
                <w:szCs w:val="28"/>
              </w:rPr>
            </w:pPr>
            <w:r>
              <w:rPr>
                <w:rFonts w:ascii="仿宋_GB2312" w:hint="eastAsia"/>
                <w:sz w:val="28"/>
                <w:szCs w:val="28"/>
              </w:rPr>
              <w:t>要</w:t>
            </w:r>
          </w:p>
          <w:p w:rsidR="005C55FC" w:rsidRDefault="003C4D7A">
            <w:pPr>
              <w:spacing w:line="280" w:lineRule="exact"/>
              <w:rPr>
                <w:rFonts w:ascii="仿宋_GB2312"/>
                <w:sz w:val="28"/>
                <w:szCs w:val="28"/>
              </w:rPr>
            </w:pPr>
            <w:r>
              <w:rPr>
                <w:rFonts w:ascii="仿宋_GB2312" w:hint="eastAsia"/>
                <w:sz w:val="28"/>
                <w:szCs w:val="28"/>
              </w:rPr>
              <w:t>绩</w:t>
            </w:r>
          </w:p>
          <w:p w:rsidR="005C55FC" w:rsidRDefault="003C4D7A">
            <w:pPr>
              <w:spacing w:line="280" w:lineRule="exact"/>
              <w:rPr>
                <w:rFonts w:ascii="仿宋_GB2312"/>
                <w:sz w:val="28"/>
                <w:szCs w:val="28"/>
              </w:rPr>
            </w:pPr>
            <w:r>
              <w:rPr>
                <w:rFonts w:ascii="仿宋_GB2312" w:hint="eastAsia"/>
                <w:sz w:val="28"/>
                <w:szCs w:val="28"/>
              </w:rPr>
              <w:t>效</w:t>
            </w:r>
          </w:p>
          <w:p w:rsidR="005C55FC" w:rsidRDefault="003C4D7A">
            <w:pPr>
              <w:spacing w:line="280" w:lineRule="exact"/>
              <w:rPr>
                <w:rFonts w:ascii="仿宋_GB2312"/>
                <w:sz w:val="28"/>
                <w:szCs w:val="28"/>
              </w:rPr>
            </w:pPr>
            <w:r>
              <w:rPr>
                <w:rFonts w:ascii="仿宋_GB2312" w:hint="eastAsia"/>
                <w:sz w:val="28"/>
                <w:szCs w:val="28"/>
              </w:rPr>
              <w:t>情</w:t>
            </w:r>
          </w:p>
          <w:p w:rsidR="005C55FC" w:rsidRDefault="003C4D7A">
            <w:pPr>
              <w:spacing w:line="280" w:lineRule="exact"/>
              <w:rPr>
                <w:rFonts w:ascii="仿宋_GB2312"/>
                <w:sz w:val="28"/>
                <w:szCs w:val="28"/>
              </w:rPr>
            </w:pPr>
            <w:r>
              <w:rPr>
                <w:rFonts w:ascii="仿宋_GB2312" w:hint="eastAsia"/>
                <w:sz w:val="28"/>
                <w:szCs w:val="28"/>
              </w:rPr>
              <w:t>况</w:t>
            </w:r>
          </w:p>
        </w:tc>
        <w:tc>
          <w:tcPr>
            <w:tcW w:w="8112" w:type="dxa"/>
            <w:gridSpan w:val="4"/>
            <w:noWrap/>
            <w:vAlign w:val="center"/>
          </w:tcPr>
          <w:p w:rsidR="005C55FC" w:rsidRDefault="003C4D7A">
            <w:pPr>
              <w:spacing w:line="500" w:lineRule="exact"/>
              <w:ind w:firstLineChars="200" w:firstLine="480"/>
              <w:rPr>
                <w:rFonts w:ascii="仿宋_GB2312"/>
                <w:sz w:val="24"/>
              </w:rPr>
            </w:pPr>
            <w:r>
              <w:rPr>
                <w:rFonts w:ascii="仿宋_GB2312" w:hint="eastAsia"/>
                <w:sz w:val="24"/>
              </w:rPr>
              <w:t>1.</w:t>
            </w:r>
            <w:r w:rsidR="0001182F" w:rsidRPr="0001182F">
              <w:rPr>
                <w:rFonts w:ascii="仿宋_GB2312" w:hint="eastAsia"/>
                <w:sz w:val="24"/>
              </w:rPr>
              <w:t>项目立项依据充分、流程合法合规</w:t>
            </w:r>
            <w:r w:rsidR="0001182F">
              <w:rPr>
                <w:rFonts w:ascii="仿宋_GB2312" w:hint="eastAsia"/>
                <w:sz w:val="24"/>
              </w:rPr>
              <w:t>。</w:t>
            </w:r>
          </w:p>
          <w:p w:rsidR="005C55FC" w:rsidRDefault="003C4D7A">
            <w:pPr>
              <w:spacing w:line="500" w:lineRule="exact"/>
              <w:ind w:firstLineChars="200" w:firstLine="480"/>
              <w:rPr>
                <w:rFonts w:ascii="仿宋_GB2312"/>
                <w:sz w:val="24"/>
              </w:rPr>
            </w:pPr>
            <w:r>
              <w:rPr>
                <w:rFonts w:ascii="仿宋_GB2312" w:hint="eastAsia"/>
                <w:sz w:val="24"/>
              </w:rPr>
              <w:t>2.</w:t>
            </w:r>
            <w:r w:rsidR="0001182F" w:rsidRPr="0001182F">
              <w:rPr>
                <w:rFonts w:ascii="仿宋_GB2312" w:hint="eastAsia"/>
                <w:sz w:val="24"/>
              </w:rPr>
              <w:t>对第三方机构工作进行多维度、多层次、全过程评价</w:t>
            </w:r>
            <w:r w:rsidR="00574691">
              <w:rPr>
                <w:rFonts w:ascii="仿宋_GB2312" w:hint="eastAsia"/>
                <w:sz w:val="24"/>
              </w:rPr>
              <w:t>。</w:t>
            </w:r>
          </w:p>
          <w:p w:rsidR="005C55FC" w:rsidRDefault="003C4D7A" w:rsidP="00574691">
            <w:pPr>
              <w:spacing w:line="500" w:lineRule="exact"/>
              <w:ind w:firstLineChars="200" w:firstLine="480"/>
              <w:rPr>
                <w:rFonts w:ascii="仿宋_GB2312"/>
                <w:sz w:val="24"/>
              </w:rPr>
            </w:pPr>
            <w:r>
              <w:rPr>
                <w:rFonts w:ascii="仿宋_GB2312" w:hint="eastAsia"/>
                <w:sz w:val="24"/>
              </w:rPr>
              <w:t>3.</w:t>
            </w:r>
            <w:r w:rsidR="0001182F" w:rsidRPr="0001182F">
              <w:rPr>
                <w:rFonts w:ascii="仿宋_GB2312" w:hint="eastAsia"/>
                <w:sz w:val="24"/>
              </w:rPr>
              <w:t>资金利用更注重财政资金成本效益</w:t>
            </w:r>
            <w:r w:rsidR="00574691">
              <w:rPr>
                <w:rFonts w:ascii="仿宋_GB2312" w:hint="eastAsia"/>
                <w:sz w:val="24"/>
              </w:rPr>
              <w:t>。</w:t>
            </w:r>
          </w:p>
        </w:tc>
      </w:tr>
      <w:tr w:rsidR="005C55FC" w:rsidTr="00574691">
        <w:trPr>
          <w:cantSplit/>
          <w:trHeight w:val="2932"/>
        </w:trPr>
        <w:tc>
          <w:tcPr>
            <w:tcW w:w="596" w:type="dxa"/>
            <w:noWrap/>
            <w:vAlign w:val="center"/>
          </w:tcPr>
          <w:p w:rsidR="005C55FC" w:rsidRDefault="003C4D7A">
            <w:pPr>
              <w:spacing w:line="280" w:lineRule="exact"/>
              <w:rPr>
                <w:rFonts w:ascii="仿宋_GB2312"/>
                <w:sz w:val="28"/>
                <w:szCs w:val="28"/>
              </w:rPr>
            </w:pPr>
            <w:r>
              <w:rPr>
                <w:rFonts w:ascii="仿宋_GB2312" w:hint="eastAsia"/>
                <w:sz w:val="28"/>
                <w:szCs w:val="28"/>
              </w:rPr>
              <w:t>主</w:t>
            </w:r>
          </w:p>
          <w:p w:rsidR="005C55FC" w:rsidRDefault="003C4D7A">
            <w:pPr>
              <w:spacing w:line="280" w:lineRule="exact"/>
              <w:rPr>
                <w:rFonts w:ascii="仿宋_GB2312"/>
                <w:sz w:val="28"/>
                <w:szCs w:val="28"/>
              </w:rPr>
            </w:pPr>
            <w:r>
              <w:rPr>
                <w:rFonts w:ascii="仿宋_GB2312" w:hint="eastAsia"/>
                <w:sz w:val="28"/>
                <w:szCs w:val="28"/>
              </w:rPr>
              <w:t>要</w:t>
            </w:r>
          </w:p>
          <w:p w:rsidR="005C55FC" w:rsidRDefault="003C4D7A">
            <w:pPr>
              <w:spacing w:line="280" w:lineRule="exact"/>
              <w:rPr>
                <w:rFonts w:ascii="仿宋_GB2312"/>
                <w:sz w:val="28"/>
                <w:szCs w:val="28"/>
              </w:rPr>
            </w:pPr>
            <w:r>
              <w:rPr>
                <w:rFonts w:ascii="仿宋_GB2312" w:hint="eastAsia"/>
                <w:sz w:val="28"/>
                <w:szCs w:val="28"/>
              </w:rPr>
              <w:t>问</w:t>
            </w:r>
          </w:p>
          <w:p w:rsidR="005C55FC" w:rsidRDefault="003C4D7A">
            <w:pPr>
              <w:spacing w:line="280" w:lineRule="exact"/>
              <w:rPr>
                <w:rFonts w:ascii="仿宋_GB2312"/>
                <w:sz w:val="28"/>
                <w:szCs w:val="28"/>
              </w:rPr>
            </w:pPr>
            <w:r>
              <w:rPr>
                <w:rFonts w:ascii="仿宋_GB2312" w:hint="eastAsia"/>
                <w:sz w:val="28"/>
                <w:szCs w:val="28"/>
              </w:rPr>
              <w:t>题</w:t>
            </w:r>
          </w:p>
        </w:tc>
        <w:tc>
          <w:tcPr>
            <w:tcW w:w="8112" w:type="dxa"/>
            <w:gridSpan w:val="4"/>
            <w:noWrap/>
            <w:vAlign w:val="center"/>
          </w:tcPr>
          <w:p w:rsidR="00574691" w:rsidRPr="00574691" w:rsidRDefault="003C4D7A" w:rsidP="00574691">
            <w:pPr>
              <w:spacing w:line="500" w:lineRule="exact"/>
              <w:ind w:firstLineChars="250" w:firstLine="600"/>
              <w:rPr>
                <w:rFonts w:ascii="仿宋_GB2312"/>
                <w:sz w:val="24"/>
              </w:rPr>
            </w:pPr>
            <w:r>
              <w:rPr>
                <w:rFonts w:ascii="仿宋_GB2312" w:hint="eastAsia"/>
                <w:sz w:val="24"/>
              </w:rPr>
              <w:t>1.</w:t>
            </w:r>
            <w:r w:rsidR="0001182F" w:rsidRPr="0001182F">
              <w:rPr>
                <w:rFonts w:ascii="仿宋_GB2312" w:hint="eastAsia"/>
                <w:sz w:val="24"/>
              </w:rPr>
              <w:t>资金利用更注重财政资金成本效益</w:t>
            </w:r>
            <w:r w:rsidR="0001182F">
              <w:rPr>
                <w:rFonts w:ascii="仿宋_GB2312" w:hint="eastAsia"/>
                <w:sz w:val="24"/>
              </w:rPr>
              <w:t>。</w:t>
            </w:r>
          </w:p>
          <w:p w:rsidR="005C55FC" w:rsidRDefault="00574691">
            <w:pPr>
              <w:spacing w:line="500" w:lineRule="exact"/>
              <w:ind w:firstLineChars="200" w:firstLine="480"/>
              <w:rPr>
                <w:rFonts w:ascii="仿宋_GB2312"/>
                <w:sz w:val="24"/>
              </w:rPr>
            </w:pPr>
            <w:r>
              <w:rPr>
                <w:rFonts w:ascii="仿宋_GB2312" w:hint="eastAsia"/>
                <w:sz w:val="24"/>
              </w:rPr>
              <w:t xml:space="preserve"> </w:t>
            </w:r>
            <w:r w:rsidR="003C4D7A">
              <w:rPr>
                <w:rFonts w:ascii="仿宋_GB2312" w:hint="eastAsia"/>
                <w:sz w:val="24"/>
              </w:rPr>
              <w:t>2.</w:t>
            </w:r>
            <w:r w:rsidR="0001182F" w:rsidRPr="0001182F">
              <w:rPr>
                <w:rFonts w:ascii="仿宋_GB2312" w:hint="eastAsia"/>
                <w:sz w:val="24"/>
              </w:rPr>
              <w:t>部分预算项目费用预计不足</w:t>
            </w:r>
            <w:r>
              <w:rPr>
                <w:rFonts w:ascii="仿宋_GB2312" w:hint="eastAsia"/>
                <w:sz w:val="24"/>
              </w:rPr>
              <w:t>。</w:t>
            </w:r>
          </w:p>
          <w:p w:rsidR="005C55FC" w:rsidRDefault="003C4D7A" w:rsidP="00574691">
            <w:pPr>
              <w:spacing w:line="500" w:lineRule="exact"/>
              <w:ind w:firstLineChars="250" w:firstLine="600"/>
              <w:rPr>
                <w:rFonts w:ascii="仿宋_GB2312"/>
                <w:sz w:val="24"/>
              </w:rPr>
            </w:pPr>
            <w:r>
              <w:rPr>
                <w:rFonts w:ascii="仿宋_GB2312" w:hint="eastAsia"/>
                <w:sz w:val="24"/>
              </w:rPr>
              <w:t>3.</w:t>
            </w:r>
            <w:r w:rsidR="0001182F" w:rsidRPr="0001182F">
              <w:rPr>
                <w:rFonts w:ascii="仿宋_GB2312" w:hint="eastAsia"/>
                <w:sz w:val="24"/>
              </w:rPr>
              <w:t>存在列支其他项目预算费用的情况</w:t>
            </w:r>
            <w:r w:rsidR="00574691">
              <w:rPr>
                <w:rFonts w:ascii="仿宋_GB2312" w:hint="eastAsia"/>
                <w:sz w:val="24"/>
              </w:rPr>
              <w:t>。</w:t>
            </w:r>
          </w:p>
        </w:tc>
      </w:tr>
      <w:tr w:rsidR="005C55FC">
        <w:trPr>
          <w:cantSplit/>
          <w:trHeight w:val="1832"/>
        </w:trPr>
        <w:tc>
          <w:tcPr>
            <w:tcW w:w="596" w:type="dxa"/>
            <w:noWrap/>
            <w:vAlign w:val="center"/>
          </w:tcPr>
          <w:p w:rsidR="005C55FC" w:rsidRDefault="003C4D7A">
            <w:pPr>
              <w:spacing w:line="280" w:lineRule="exact"/>
              <w:rPr>
                <w:rFonts w:ascii="仿宋_GB2312"/>
                <w:sz w:val="28"/>
                <w:szCs w:val="28"/>
              </w:rPr>
            </w:pPr>
            <w:r>
              <w:rPr>
                <w:rFonts w:ascii="仿宋_GB2312" w:hint="eastAsia"/>
                <w:sz w:val="28"/>
                <w:szCs w:val="28"/>
              </w:rPr>
              <w:t>建</w:t>
            </w:r>
          </w:p>
          <w:p w:rsidR="005C55FC" w:rsidRDefault="005C55FC">
            <w:pPr>
              <w:spacing w:line="280" w:lineRule="exact"/>
              <w:rPr>
                <w:rFonts w:ascii="仿宋_GB2312"/>
                <w:sz w:val="28"/>
                <w:szCs w:val="28"/>
              </w:rPr>
            </w:pPr>
          </w:p>
          <w:p w:rsidR="005C55FC" w:rsidRDefault="003C4D7A">
            <w:pPr>
              <w:spacing w:line="280" w:lineRule="exact"/>
              <w:rPr>
                <w:rFonts w:ascii="仿宋_GB2312"/>
                <w:sz w:val="28"/>
                <w:szCs w:val="28"/>
              </w:rPr>
            </w:pPr>
            <w:r>
              <w:rPr>
                <w:rFonts w:ascii="仿宋_GB2312" w:hint="eastAsia"/>
                <w:sz w:val="28"/>
                <w:szCs w:val="28"/>
              </w:rPr>
              <w:t>议</w:t>
            </w:r>
          </w:p>
        </w:tc>
        <w:tc>
          <w:tcPr>
            <w:tcW w:w="8112" w:type="dxa"/>
            <w:gridSpan w:val="4"/>
            <w:noWrap/>
            <w:vAlign w:val="center"/>
          </w:tcPr>
          <w:p w:rsidR="005C55FC" w:rsidRDefault="003C4D7A" w:rsidP="00574691">
            <w:pPr>
              <w:spacing w:line="500" w:lineRule="exact"/>
              <w:ind w:firstLineChars="250" w:firstLine="600"/>
              <w:rPr>
                <w:rFonts w:ascii="仿宋_GB2312"/>
                <w:sz w:val="24"/>
              </w:rPr>
            </w:pPr>
            <w:r>
              <w:rPr>
                <w:rFonts w:ascii="仿宋_GB2312" w:hint="eastAsia"/>
                <w:sz w:val="24"/>
              </w:rPr>
              <w:t>1.</w:t>
            </w:r>
            <w:r w:rsidR="00574691">
              <w:rPr>
                <w:rFonts w:ascii="仿宋_GB2312" w:hint="eastAsia"/>
                <w:sz w:val="24"/>
              </w:rPr>
              <w:t>提升消杀效果，制度解决方案</w:t>
            </w:r>
            <w:r>
              <w:rPr>
                <w:rFonts w:ascii="仿宋_GB2312" w:hint="eastAsia"/>
                <w:sz w:val="24"/>
              </w:rPr>
              <w:t>。</w:t>
            </w:r>
          </w:p>
          <w:p w:rsidR="005C55FC" w:rsidRDefault="003C4D7A" w:rsidP="00574691">
            <w:pPr>
              <w:spacing w:line="500" w:lineRule="exact"/>
              <w:ind w:firstLineChars="250" w:firstLine="600"/>
              <w:rPr>
                <w:rFonts w:ascii="仿宋_GB2312"/>
                <w:sz w:val="24"/>
              </w:rPr>
            </w:pPr>
            <w:r>
              <w:rPr>
                <w:rFonts w:ascii="仿宋_GB2312" w:hint="eastAsia"/>
                <w:sz w:val="24"/>
              </w:rPr>
              <w:t>2.</w:t>
            </w:r>
            <w:r w:rsidR="00574691" w:rsidRPr="00574691">
              <w:rPr>
                <w:rFonts w:ascii="仿宋_GB2312" w:hint="eastAsia"/>
                <w:sz w:val="24"/>
              </w:rPr>
              <w:t xml:space="preserve"> 严格项目支出，项目支出按预算执行、资金支付按合同执行</w:t>
            </w:r>
            <w:r>
              <w:rPr>
                <w:rFonts w:ascii="仿宋_GB2312" w:hint="eastAsia"/>
                <w:sz w:val="24"/>
              </w:rPr>
              <w:t>。</w:t>
            </w:r>
          </w:p>
          <w:p w:rsidR="005C55FC" w:rsidRDefault="003C4D7A" w:rsidP="00574691">
            <w:pPr>
              <w:spacing w:line="500" w:lineRule="exact"/>
              <w:ind w:firstLineChars="250" w:firstLine="600"/>
              <w:rPr>
                <w:rFonts w:ascii="仿宋_GB2312"/>
                <w:sz w:val="24"/>
              </w:rPr>
            </w:pPr>
            <w:r>
              <w:rPr>
                <w:rFonts w:ascii="仿宋_GB2312" w:hint="eastAsia"/>
                <w:sz w:val="24"/>
              </w:rPr>
              <w:t>3.</w:t>
            </w:r>
            <w:r w:rsidR="00574691">
              <w:rPr>
                <w:rFonts w:ascii="仿宋_GB2312" w:hint="eastAsia"/>
                <w:sz w:val="24"/>
              </w:rPr>
              <w:t>严格规范项目资金列支</w:t>
            </w:r>
            <w:r>
              <w:rPr>
                <w:rFonts w:ascii="仿宋_GB2312" w:hint="eastAsia"/>
                <w:sz w:val="24"/>
              </w:rPr>
              <w:t>。</w:t>
            </w:r>
          </w:p>
          <w:p w:rsidR="005C55FC" w:rsidRDefault="005C55FC" w:rsidP="00574691">
            <w:pPr>
              <w:spacing w:line="500" w:lineRule="exact"/>
              <w:ind w:firstLineChars="250" w:firstLine="600"/>
              <w:rPr>
                <w:rFonts w:ascii="仿宋_GB2312"/>
                <w:sz w:val="24"/>
              </w:rPr>
            </w:pPr>
          </w:p>
          <w:p w:rsidR="005C55FC" w:rsidRDefault="003C4D7A" w:rsidP="00574691">
            <w:pPr>
              <w:spacing w:line="500" w:lineRule="exact"/>
              <w:ind w:firstLineChars="250" w:firstLine="600"/>
              <w:rPr>
                <w:rFonts w:ascii="仿宋_GB2312" w:hAnsi="宋体" w:cs="宋体"/>
                <w:sz w:val="24"/>
              </w:rPr>
            </w:pPr>
            <w:r>
              <w:rPr>
                <w:rFonts w:ascii="仿宋_GB2312" w:hint="eastAsia"/>
                <w:sz w:val="24"/>
              </w:rPr>
              <w:t>（详见此项目绩效评价报告）</w:t>
            </w:r>
          </w:p>
        </w:tc>
      </w:tr>
    </w:tbl>
    <w:p w:rsidR="005C55FC" w:rsidRDefault="005C55FC">
      <w:pPr>
        <w:spacing w:line="500" w:lineRule="exact"/>
        <w:rPr>
          <w:rFonts w:ascii="黑体" w:eastAsia="黑体"/>
          <w:szCs w:val="32"/>
        </w:rPr>
      </w:pPr>
    </w:p>
    <w:p w:rsidR="00574691" w:rsidRDefault="00574691">
      <w:pPr>
        <w:spacing w:line="500" w:lineRule="exact"/>
        <w:rPr>
          <w:rFonts w:ascii="黑体" w:eastAsia="黑体"/>
          <w:szCs w:val="32"/>
        </w:rPr>
      </w:pPr>
    </w:p>
    <w:p w:rsidR="005C55FC" w:rsidRDefault="005C55FC">
      <w:pPr>
        <w:spacing w:line="500" w:lineRule="exact"/>
        <w:rPr>
          <w:rFonts w:ascii="黑体" w:eastAsia="黑体"/>
          <w:szCs w:val="32"/>
        </w:rPr>
      </w:pPr>
    </w:p>
    <w:p w:rsidR="005C55FC" w:rsidRDefault="003C4D7A">
      <w:pPr>
        <w:spacing w:line="500" w:lineRule="exact"/>
        <w:rPr>
          <w:rFonts w:ascii="黑体" w:eastAsia="黑体"/>
          <w:szCs w:val="32"/>
        </w:rPr>
      </w:pPr>
      <w:r>
        <w:rPr>
          <w:rFonts w:ascii="黑体" w:eastAsia="黑体" w:hint="eastAsia"/>
          <w:szCs w:val="32"/>
        </w:rPr>
        <w:lastRenderedPageBreak/>
        <w:t>附件</w:t>
      </w:r>
      <w:r w:rsidR="00574691">
        <w:rPr>
          <w:rFonts w:ascii="黑体" w:eastAsia="黑体" w:hint="eastAsia"/>
          <w:szCs w:val="32"/>
        </w:rPr>
        <w:t>7</w:t>
      </w:r>
      <w:r>
        <w:rPr>
          <w:rFonts w:ascii="黑体" w:eastAsia="黑体" w:hint="eastAsia"/>
          <w:szCs w:val="32"/>
        </w:rPr>
        <w:t>-</w:t>
      </w:r>
      <w:r w:rsidR="00384EB3">
        <w:rPr>
          <w:rFonts w:ascii="黑体" w:eastAsia="黑体" w:hint="eastAsia"/>
          <w:szCs w:val="32"/>
        </w:rPr>
        <w:t>2</w:t>
      </w:r>
    </w:p>
    <w:p w:rsidR="005C55FC" w:rsidRDefault="005C55FC">
      <w:pPr>
        <w:spacing w:line="640" w:lineRule="exact"/>
        <w:jc w:val="center"/>
        <w:rPr>
          <w:rFonts w:ascii="华文中宋" w:eastAsia="华文中宋" w:hAnsi="华文中宋"/>
          <w:b/>
          <w:sz w:val="40"/>
          <w:szCs w:val="40"/>
        </w:rPr>
      </w:pPr>
    </w:p>
    <w:p w:rsidR="005C55FC" w:rsidRDefault="00574691">
      <w:pPr>
        <w:spacing w:line="640" w:lineRule="exact"/>
        <w:jc w:val="center"/>
        <w:rPr>
          <w:rFonts w:ascii="华文中宋" w:eastAsia="华文中宋" w:hAnsi="华文中宋"/>
          <w:b/>
          <w:sz w:val="40"/>
          <w:szCs w:val="40"/>
        </w:rPr>
      </w:pPr>
      <w:r>
        <w:rPr>
          <w:rFonts w:ascii="华文中宋" w:eastAsia="华文中宋" w:hAnsi="华文中宋" w:hint="eastAsia"/>
          <w:b/>
          <w:sz w:val="40"/>
          <w:szCs w:val="40"/>
        </w:rPr>
        <w:t>上城区</w:t>
      </w:r>
      <w:r w:rsidR="003C4D7A">
        <w:rPr>
          <w:rFonts w:ascii="华文中宋" w:eastAsia="华文中宋" w:hAnsi="华文中宋" w:hint="eastAsia"/>
          <w:b/>
          <w:sz w:val="40"/>
          <w:szCs w:val="40"/>
        </w:rPr>
        <w:t>财政支出绩效评价结果整改报告书</w:t>
      </w:r>
    </w:p>
    <w:p w:rsidR="005C55FC" w:rsidRDefault="005C55FC">
      <w:pPr>
        <w:spacing w:line="640" w:lineRule="exact"/>
        <w:jc w:val="center"/>
        <w:rPr>
          <w:rFonts w:ascii="华文中宋" w:eastAsia="华文中宋" w:hAnsi="华文中宋"/>
          <w:b/>
          <w:sz w:val="40"/>
          <w:szCs w:val="40"/>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918"/>
        <w:gridCol w:w="2106"/>
        <w:gridCol w:w="171"/>
        <w:gridCol w:w="2272"/>
        <w:gridCol w:w="1692"/>
      </w:tblGrid>
      <w:tr w:rsidR="005C55FC">
        <w:trPr>
          <w:trHeight w:val="459"/>
        </w:trPr>
        <w:tc>
          <w:tcPr>
            <w:tcW w:w="1679" w:type="dxa"/>
            <w:gridSpan w:val="2"/>
            <w:noWrap/>
            <w:vAlign w:val="center"/>
          </w:tcPr>
          <w:p w:rsidR="005C55FC" w:rsidRDefault="003C4D7A">
            <w:pPr>
              <w:spacing w:line="500" w:lineRule="exact"/>
              <w:rPr>
                <w:rFonts w:ascii="仿宋_GB2312"/>
                <w:sz w:val="28"/>
                <w:szCs w:val="28"/>
              </w:rPr>
            </w:pPr>
            <w:r>
              <w:rPr>
                <w:rFonts w:ascii="仿宋_GB2312" w:hint="eastAsia"/>
                <w:sz w:val="28"/>
                <w:szCs w:val="28"/>
              </w:rPr>
              <w:t>被评价项目（单位）</w:t>
            </w:r>
          </w:p>
        </w:tc>
        <w:tc>
          <w:tcPr>
            <w:tcW w:w="2106" w:type="dxa"/>
            <w:noWrap/>
            <w:vAlign w:val="center"/>
          </w:tcPr>
          <w:p w:rsidR="005C55FC" w:rsidRDefault="005C55FC">
            <w:pPr>
              <w:spacing w:line="500" w:lineRule="exact"/>
              <w:rPr>
                <w:rFonts w:ascii="仿宋_GB2312"/>
                <w:sz w:val="28"/>
                <w:szCs w:val="28"/>
              </w:rPr>
            </w:pPr>
          </w:p>
        </w:tc>
        <w:tc>
          <w:tcPr>
            <w:tcW w:w="2443" w:type="dxa"/>
            <w:gridSpan w:val="2"/>
            <w:noWrap/>
            <w:vAlign w:val="center"/>
          </w:tcPr>
          <w:p w:rsidR="005C55FC" w:rsidRDefault="003C4D7A">
            <w:pPr>
              <w:spacing w:line="500" w:lineRule="exact"/>
              <w:rPr>
                <w:rFonts w:ascii="仿宋_GB2312"/>
                <w:sz w:val="28"/>
                <w:szCs w:val="28"/>
              </w:rPr>
            </w:pPr>
            <w:r>
              <w:rPr>
                <w:rFonts w:ascii="仿宋_GB2312" w:hint="eastAsia"/>
                <w:sz w:val="28"/>
                <w:szCs w:val="28"/>
              </w:rPr>
              <w:t>结果反馈书编号</w:t>
            </w:r>
          </w:p>
        </w:tc>
        <w:tc>
          <w:tcPr>
            <w:tcW w:w="1692" w:type="dxa"/>
            <w:noWrap/>
            <w:vAlign w:val="center"/>
          </w:tcPr>
          <w:p w:rsidR="005C55FC" w:rsidRDefault="005C55FC">
            <w:pPr>
              <w:spacing w:line="500" w:lineRule="exact"/>
              <w:rPr>
                <w:rFonts w:ascii="仿宋_GB2312"/>
                <w:sz w:val="28"/>
                <w:szCs w:val="28"/>
              </w:rPr>
            </w:pPr>
          </w:p>
        </w:tc>
      </w:tr>
      <w:tr w:rsidR="005C55FC">
        <w:trPr>
          <w:trHeight w:val="599"/>
        </w:trPr>
        <w:tc>
          <w:tcPr>
            <w:tcW w:w="1679" w:type="dxa"/>
            <w:gridSpan w:val="2"/>
            <w:noWrap/>
            <w:vAlign w:val="center"/>
          </w:tcPr>
          <w:p w:rsidR="005C55FC" w:rsidRDefault="003C4D7A">
            <w:pPr>
              <w:spacing w:line="500" w:lineRule="exact"/>
              <w:rPr>
                <w:rFonts w:ascii="仿宋_GB2312"/>
                <w:sz w:val="28"/>
                <w:szCs w:val="28"/>
              </w:rPr>
            </w:pPr>
            <w:r>
              <w:rPr>
                <w:rFonts w:ascii="仿宋_GB2312" w:hint="eastAsia"/>
                <w:sz w:val="28"/>
                <w:szCs w:val="28"/>
              </w:rPr>
              <w:t>联系人</w:t>
            </w:r>
          </w:p>
        </w:tc>
        <w:tc>
          <w:tcPr>
            <w:tcW w:w="2106" w:type="dxa"/>
            <w:noWrap/>
            <w:vAlign w:val="center"/>
          </w:tcPr>
          <w:p w:rsidR="005C55FC" w:rsidRDefault="005C55FC">
            <w:pPr>
              <w:spacing w:line="500" w:lineRule="exact"/>
              <w:rPr>
                <w:rFonts w:ascii="仿宋_GB2312"/>
                <w:sz w:val="28"/>
                <w:szCs w:val="28"/>
              </w:rPr>
            </w:pPr>
          </w:p>
        </w:tc>
        <w:tc>
          <w:tcPr>
            <w:tcW w:w="2443" w:type="dxa"/>
            <w:gridSpan w:val="2"/>
            <w:noWrap/>
            <w:vAlign w:val="center"/>
          </w:tcPr>
          <w:p w:rsidR="005C55FC" w:rsidRDefault="003C4D7A">
            <w:pPr>
              <w:spacing w:line="500" w:lineRule="exact"/>
              <w:rPr>
                <w:rFonts w:ascii="仿宋_GB2312"/>
                <w:sz w:val="28"/>
                <w:szCs w:val="28"/>
              </w:rPr>
            </w:pPr>
            <w:r>
              <w:rPr>
                <w:rFonts w:ascii="仿宋_GB2312" w:hint="eastAsia"/>
                <w:sz w:val="28"/>
                <w:szCs w:val="28"/>
              </w:rPr>
              <w:t>联系电话（手机）</w:t>
            </w:r>
          </w:p>
        </w:tc>
        <w:tc>
          <w:tcPr>
            <w:tcW w:w="1692" w:type="dxa"/>
            <w:noWrap/>
            <w:vAlign w:val="center"/>
          </w:tcPr>
          <w:p w:rsidR="005C55FC" w:rsidRDefault="005C55FC">
            <w:pPr>
              <w:spacing w:line="500" w:lineRule="exact"/>
              <w:rPr>
                <w:rFonts w:ascii="仿宋_GB2312"/>
                <w:sz w:val="28"/>
                <w:szCs w:val="28"/>
              </w:rPr>
            </w:pPr>
          </w:p>
        </w:tc>
      </w:tr>
      <w:tr w:rsidR="005C55FC">
        <w:trPr>
          <w:cantSplit/>
          <w:trHeight w:val="4053"/>
        </w:trPr>
        <w:tc>
          <w:tcPr>
            <w:tcW w:w="761" w:type="dxa"/>
            <w:noWrap/>
            <w:vAlign w:val="center"/>
          </w:tcPr>
          <w:p w:rsidR="005C55FC" w:rsidRDefault="005C55FC">
            <w:pPr>
              <w:spacing w:line="500" w:lineRule="exact"/>
              <w:rPr>
                <w:rFonts w:ascii="仿宋_GB2312"/>
                <w:sz w:val="28"/>
                <w:szCs w:val="28"/>
              </w:rPr>
            </w:pPr>
          </w:p>
          <w:p w:rsidR="005C55FC" w:rsidRDefault="003C4D7A">
            <w:pPr>
              <w:spacing w:line="500" w:lineRule="exact"/>
              <w:rPr>
                <w:rFonts w:ascii="仿宋_GB2312"/>
                <w:sz w:val="28"/>
                <w:szCs w:val="28"/>
              </w:rPr>
            </w:pPr>
            <w:r>
              <w:rPr>
                <w:rFonts w:ascii="仿宋_GB2312" w:hint="eastAsia"/>
                <w:sz w:val="28"/>
                <w:szCs w:val="28"/>
              </w:rPr>
              <w:t>整</w:t>
            </w:r>
          </w:p>
          <w:p w:rsidR="005C55FC" w:rsidRDefault="005C55FC">
            <w:pPr>
              <w:spacing w:line="500" w:lineRule="exact"/>
              <w:rPr>
                <w:rFonts w:ascii="仿宋_GB2312"/>
                <w:sz w:val="28"/>
                <w:szCs w:val="28"/>
              </w:rPr>
            </w:pPr>
          </w:p>
          <w:p w:rsidR="005C55FC" w:rsidRDefault="003C4D7A">
            <w:pPr>
              <w:spacing w:line="500" w:lineRule="exact"/>
              <w:rPr>
                <w:rFonts w:ascii="仿宋_GB2312"/>
                <w:sz w:val="28"/>
                <w:szCs w:val="28"/>
              </w:rPr>
            </w:pPr>
            <w:r>
              <w:rPr>
                <w:rFonts w:ascii="仿宋_GB2312" w:hint="eastAsia"/>
                <w:sz w:val="28"/>
                <w:szCs w:val="28"/>
              </w:rPr>
              <w:t>改</w:t>
            </w:r>
          </w:p>
          <w:p w:rsidR="005C55FC" w:rsidRDefault="005C55FC">
            <w:pPr>
              <w:spacing w:line="500" w:lineRule="exact"/>
              <w:rPr>
                <w:rFonts w:ascii="仿宋_GB2312"/>
                <w:sz w:val="28"/>
                <w:szCs w:val="28"/>
              </w:rPr>
            </w:pPr>
          </w:p>
          <w:p w:rsidR="005C55FC" w:rsidRDefault="003C4D7A">
            <w:pPr>
              <w:spacing w:line="500" w:lineRule="exact"/>
              <w:rPr>
                <w:rFonts w:ascii="仿宋_GB2312"/>
                <w:sz w:val="28"/>
                <w:szCs w:val="28"/>
              </w:rPr>
            </w:pPr>
            <w:r>
              <w:rPr>
                <w:rFonts w:ascii="仿宋_GB2312" w:hint="eastAsia"/>
                <w:sz w:val="28"/>
                <w:szCs w:val="28"/>
              </w:rPr>
              <w:t>情</w:t>
            </w:r>
          </w:p>
          <w:p w:rsidR="005C55FC" w:rsidRDefault="005C55FC">
            <w:pPr>
              <w:spacing w:line="500" w:lineRule="exact"/>
              <w:rPr>
                <w:rFonts w:ascii="仿宋_GB2312"/>
                <w:sz w:val="28"/>
                <w:szCs w:val="28"/>
              </w:rPr>
            </w:pPr>
          </w:p>
          <w:p w:rsidR="005C55FC" w:rsidRDefault="003C4D7A">
            <w:pPr>
              <w:spacing w:line="500" w:lineRule="exact"/>
              <w:rPr>
                <w:rFonts w:ascii="仿宋_GB2312"/>
                <w:sz w:val="28"/>
                <w:szCs w:val="28"/>
              </w:rPr>
            </w:pPr>
            <w:r>
              <w:rPr>
                <w:rFonts w:ascii="仿宋_GB2312" w:hint="eastAsia"/>
                <w:sz w:val="28"/>
                <w:szCs w:val="28"/>
              </w:rPr>
              <w:t>况</w:t>
            </w:r>
          </w:p>
          <w:p w:rsidR="005C55FC" w:rsidRDefault="005C55FC">
            <w:pPr>
              <w:spacing w:line="500" w:lineRule="exact"/>
              <w:rPr>
                <w:rFonts w:ascii="仿宋_GB2312"/>
                <w:sz w:val="28"/>
                <w:szCs w:val="28"/>
              </w:rPr>
            </w:pPr>
          </w:p>
        </w:tc>
        <w:tc>
          <w:tcPr>
            <w:tcW w:w="7159" w:type="dxa"/>
            <w:gridSpan w:val="5"/>
            <w:noWrap/>
          </w:tcPr>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tc>
      </w:tr>
      <w:tr w:rsidR="005C55FC">
        <w:trPr>
          <w:cantSplit/>
          <w:trHeight w:val="3517"/>
        </w:trPr>
        <w:tc>
          <w:tcPr>
            <w:tcW w:w="3956" w:type="dxa"/>
            <w:gridSpan w:val="4"/>
            <w:noWrap/>
            <w:vAlign w:val="center"/>
          </w:tcPr>
          <w:p w:rsidR="005C55FC" w:rsidRDefault="003C4D7A">
            <w:pPr>
              <w:spacing w:line="500" w:lineRule="exact"/>
              <w:rPr>
                <w:rFonts w:ascii="仿宋_GB2312"/>
                <w:sz w:val="28"/>
                <w:szCs w:val="28"/>
              </w:rPr>
            </w:pPr>
            <w:r>
              <w:rPr>
                <w:rFonts w:ascii="仿宋_GB2312" w:hint="eastAsia"/>
                <w:sz w:val="28"/>
                <w:szCs w:val="28"/>
              </w:rPr>
              <w:t>被评价单位负责人（签字）</w:t>
            </w:r>
          </w:p>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p w:rsidR="005C55FC" w:rsidRDefault="003C4D7A">
            <w:pPr>
              <w:spacing w:line="500" w:lineRule="exact"/>
              <w:rPr>
                <w:rFonts w:ascii="仿宋_GB2312"/>
                <w:sz w:val="28"/>
                <w:szCs w:val="28"/>
              </w:rPr>
            </w:pPr>
            <w:r>
              <w:rPr>
                <w:rFonts w:ascii="仿宋_GB2312" w:hint="eastAsia"/>
                <w:sz w:val="28"/>
                <w:szCs w:val="28"/>
              </w:rPr>
              <w:t>被评价单位（盖章）</w:t>
            </w:r>
          </w:p>
          <w:p w:rsidR="005C55FC" w:rsidRDefault="005C55FC">
            <w:pPr>
              <w:spacing w:line="500" w:lineRule="exact"/>
              <w:rPr>
                <w:rFonts w:ascii="仿宋_GB2312"/>
                <w:sz w:val="28"/>
                <w:szCs w:val="28"/>
              </w:rPr>
            </w:pPr>
          </w:p>
          <w:p w:rsidR="005C55FC" w:rsidRDefault="003C4D7A">
            <w:pPr>
              <w:spacing w:line="500" w:lineRule="exact"/>
              <w:ind w:firstLineChars="700" w:firstLine="1960"/>
              <w:rPr>
                <w:rFonts w:ascii="仿宋_GB2312"/>
                <w:sz w:val="28"/>
                <w:szCs w:val="28"/>
              </w:rPr>
            </w:pPr>
            <w:r>
              <w:rPr>
                <w:rFonts w:ascii="仿宋_GB2312" w:hint="eastAsia"/>
                <w:sz w:val="28"/>
                <w:szCs w:val="28"/>
              </w:rPr>
              <w:t>年   月   日</w:t>
            </w:r>
          </w:p>
        </w:tc>
        <w:tc>
          <w:tcPr>
            <w:tcW w:w="3964" w:type="dxa"/>
            <w:gridSpan w:val="2"/>
            <w:noWrap/>
            <w:vAlign w:val="center"/>
          </w:tcPr>
          <w:p w:rsidR="005C55FC" w:rsidRDefault="003C4D7A">
            <w:pPr>
              <w:spacing w:line="500" w:lineRule="exact"/>
              <w:rPr>
                <w:rFonts w:ascii="仿宋_GB2312"/>
                <w:sz w:val="28"/>
                <w:szCs w:val="28"/>
              </w:rPr>
            </w:pPr>
            <w:r>
              <w:rPr>
                <w:rFonts w:ascii="仿宋_GB2312" w:hint="eastAsia"/>
                <w:sz w:val="28"/>
                <w:szCs w:val="28"/>
              </w:rPr>
              <w:t>主管部门意见</w:t>
            </w:r>
          </w:p>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p w:rsidR="005C55FC" w:rsidRDefault="003C4D7A">
            <w:pPr>
              <w:spacing w:line="500" w:lineRule="exact"/>
              <w:rPr>
                <w:rFonts w:ascii="仿宋_GB2312"/>
                <w:sz w:val="28"/>
                <w:szCs w:val="28"/>
              </w:rPr>
            </w:pPr>
            <w:r>
              <w:rPr>
                <w:rFonts w:ascii="仿宋_GB2312" w:hint="eastAsia"/>
                <w:sz w:val="28"/>
                <w:szCs w:val="28"/>
              </w:rPr>
              <w:t>（盖章）</w:t>
            </w:r>
          </w:p>
          <w:p w:rsidR="005C55FC" w:rsidRDefault="005C55FC">
            <w:pPr>
              <w:spacing w:line="500" w:lineRule="exact"/>
              <w:rPr>
                <w:rFonts w:ascii="仿宋_GB2312"/>
                <w:sz w:val="28"/>
                <w:szCs w:val="28"/>
              </w:rPr>
            </w:pPr>
          </w:p>
          <w:p w:rsidR="005C55FC" w:rsidRDefault="003C4D7A">
            <w:pPr>
              <w:spacing w:line="500" w:lineRule="exact"/>
              <w:ind w:firstLineChars="650" w:firstLine="1820"/>
              <w:rPr>
                <w:rFonts w:ascii="仿宋_GB2312"/>
                <w:sz w:val="28"/>
                <w:szCs w:val="28"/>
              </w:rPr>
            </w:pPr>
            <w:r>
              <w:rPr>
                <w:rFonts w:ascii="仿宋_GB2312" w:hint="eastAsia"/>
                <w:sz w:val="28"/>
                <w:szCs w:val="28"/>
              </w:rPr>
              <w:t>年   月    日</w:t>
            </w:r>
          </w:p>
        </w:tc>
      </w:tr>
    </w:tbl>
    <w:p w:rsidR="005C55FC" w:rsidRDefault="005C55FC">
      <w:pPr>
        <w:rPr>
          <w:rFonts w:ascii="仿宋_GB2312"/>
          <w:szCs w:val="32"/>
        </w:rPr>
      </w:pPr>
    </w:p>
    <w:p w:rsidR="00574691" w:rsidRDefault="00574691">
      <w:pPr>
        <w:rPr>
          <w:rFonts w:ascii="仿宋_GB2312"/>
          <w:szCs w:val="32"/>
        </w:rPr>
      </w:pPr>
    </w:p>
    <w:p w:rsidR="00574691" w:rsidRDefault="00574691">
      <w:pPr>
        <w:rPr>
          <w:rFonts w:ascii="仿宋_GB2312"/>
          <w:szCs w:val="32"/>
        </w:rPr>
      </w:pPr>
    </w:p>
    <w:p w:rsidR="005C55FC" w:rsidRDefault="003C4D7A">
      <w:pPr>
        <w:spacing w:line="500" w:lineRule="exact"/>
        <w:rPr>
          <w:rFonts w:ascii="仿宋_GB2312" w:hAnsi="黑体"/>
          <w:bCs/>
          <w:sz w:val="44"/>
        </w:rPr>
      </w:pPr>
      <w:r>
        <w:rPr>
          <w:rFonts w:ascii="黑体" w:eastAsia="黑体" w:hint="eastAsia"/>
          <w:szCs w:val="32"/>
        </w:rPr>
        <w:t>附件</w:t>
      </w:r>
      <w:r w:rsidR="00574691">
        <w:rPr>
          <w:rFonts w:ascii="黑体" w:eastAsia="黑体" w:hint="eastAsia"/>
          <w:szCs w:val="32"/>
        </w:rPr>
        <w:t>7</w:t>
      </w:r>
      <w:r>
        <w:rPr>
          <w:rFonts w:ascii="黑体" w:eastAsia="黑体" w:hint="eastAsia"/>
          <w:szCs w:val="32"/>
        </w:rPr>
        <w:t>-</w:t>
      </w:r>
      <w:r w:rsidR="00384EB3">
        <w:rPr>
          <w:rFonts w:ascii="黑体" w:eastAsia="黑体" w:hint="eastAsia"/>
          <w:szCs w:val="32"/>
        </w:rPr>
        <w:t>3</w:t>
      </w:r>
    </w:p>
    <w:p w:rsidR="005C55FC" w:rsidRDefault="005C55FC">
      <w:pPr>
        <w:spacing w:line="348" w:lineRule="auto"/>
        <w:jc w:val="center"/>
        <w:rPr>
          <w:rFonts w:ascii="宋体" w:hAnsi="宋体"/>
          <w:bCs/>
          <w:sz w:val="44"/>
        </w:rPr>
      </w:pPr>
    </w:p>
    <w:p w:rsidR="005C55FC" w:rsidRDefault="003C4D7A">
      <w:pPr>
        <w:spacing w:line="348" w:lineRule="auto"/>
        <w:jc w:val="center"/>
        <w:rPr>
          <w:rFonts w:ascii="宋体" w:hAnsi="宋体"/>
          <w:bCs/>
          <w:sz w:val="44"/>
        </w:rPr>
      </w:pPr>
      <w:r>
        <w:rPr>
          <w:rFonts w:ascii="宋体" w:hAnsi="宋体" w:hint="eastAsia"/>
          <w:bCs/>
          <w:sz w:val="44"/>
        </w:rPr>
        <w:t>杭州市</w:t>
      </w:r>
      <w:r w:rsidR="00574691">
        <w:rPr>
          <w:rFonts w:ascii="宋体" w:hAnsi="宋体" w:hint="eastAsia"/>
          <w:bCs/>
          <w:sz w:val="44"/>
        </w:rPr>
        <w:t>上城区</w:t>
      </w:r>
      <w:r>
        <w:rPr>
          <w:rFonts w:ascii="宋体" w:hAnsi="宋体" w:hint="eastAsia"/>
          <w:bCs/>
          <w:sz w:val="44"/>
        </w:rPr>
        <w:t>财政支出项目绩效评价报告</w:t>
      </w:r>
    </w:p>
    <w:p w:rsidR="005C55FC" w:rsidRDefault="005C55FC">
      <w:pPr>
        <w:spacing w:line="348" w:lineRule="auto"/>
        <w:ind w:left="1280" w:rightChars="-227" w:right="-726" w:hangingChars="400" w:hanging="1280"/>
        <w:rPr>
          <w:rFonts w:ascii="仿宋_GB2312"/>
        </w:rPr>
      </w:pPr>
    </w:p>
    <w:p w:rsidR="00574691" w:rsidRDefault="00574691" w:rsidP="00574691">
      <w:pPr>
        <w:spacing w:line="348" w:lineRule="auto"/>
        <w:jc w:val="center"/>
        <w:rPr>
          <w:rFonts w:ascii="仿宋_GB2312"/>
          <w:b/>
          <w:bCs/>
        </w:rPr>
      </w:pPr>
    </w:p>
    <w:p w:rsidR="00574691" w:rsidRDefault="00574691" w:rsidP="00574691">
      <w:pPr>
        <w:spacing w:line="348" w:lineRule="auto"/>
        <w:ind w:firstLineChars="192" w:firstLine="614"/>
        <w:rPr>
          <w:rFonts w:ascii="仿宋" w:eastAsia="仿宋" w:hAnsi="仿宋" w:cs="仿宋"/>
          <w:u w:val="single"/>
        </w:rPr>
      </w:pPr>
      <w:r>
        <w:rPr>
          <w:rFonts w:ascii="仿宋" w:eastAsia="仿宋" w:hAnsi="仿宋" w:cs="仿宋" w:hint="eastAsia"/>
        </w:rPr>
        <w:t>项目名称</w:t>
      </w:r>
      <w:r>
        <w:rPr>
          <w:rFonts w:ascii="仿宋" w:eastAsia="仿宋" w:hAnsi="仿宋" w:cs="仿宋" w:hint="eastAsia"/>
          <w:u w:val="single"/>
        </w:rPr>
        <w:t xml:space="preserve">      五优车站精细化管理维护费                                </w:t>
      </w:r>
    </w:p>
    <w:p w:rsidR="00574691" w:rsidRDefault="00574691" w:rsidP="00574691">
      <w:pPr>
        <w:spacing w:line="348" w:lineRule="auto"/>
        <w:ind w:firstLineChars="192" w:firstLine="614"/>
        <w:rPr>
          <w:rFonts w:ascii="仿宋" w:eastAsia="仿宋" w:hAnsi="仿宋" w:cs="仿宋"/>
        </w:rPr>
      </w:pPr>
      <w:r>
        <w:rPr>
          <w:rFonts w:ascii="仿宋" w:eastAsia="仿宋" w:hAnsi="仿宋" w:cs="仿宋" w:hint="eastAsia"/>
        </w:rPr>
        <w:t>项目单位</w:t>
      </w:r>
      <w:r>
        <w:rPr>
          <w:rFonts w:ascii="仿宋" w:eastAsia="仿宋" w:hAnsi="仿宋" w:cs="仿宋" w:hint="eastAsia"/>
          <w:u w:val="single"/>
        </w:rPr>
        <w:t xml:space="preserve">      杭州东站枢纽管理委员会       </w:t>
      </w:r>
    </w:p>
    <w:p w:rsidR="00574691" w:rsidRDefault="00574691" w:rsidP="00574691">
      <w:pPr>
        <w:spacing w:line="348" w:lineRule="auto"/>
        <w:ind w:firstLineChars="192" w:firstLine="614"/>
        <w:rPr>
          <w:rFonts w:ascii="仿宋" w:eastAsia="仿宋" w:hAnsi="仿宋" w:cs="仿宋"/>
          <w:u w:val="single"/>
        </w:rPr>
      </w:pPr>
      <w:r>
        <w:rPr>
          <w:rFonts w:ascii="仿宋" w:eastAsia="仿宋" w:hAnsi="仿宋" w:cs="仿宋" w:hint="eastAsia"/>
        </w:rPr>
        <w:t>主管部门</w:t>
      </w:r>
      <w:r>
        <w:rPr>
          <w:rFonts w:ascii="仿宋" w:eastAsia="仿宋" w:hAnsi="仿宋" w:cs="仿宋" w:hint="eastAsia"/>
          <w:u w:val="single"/>
        </w:rPr>
        <w:t xml:space="preserve">         杭州市上城区财政局                               </w:t>
      </w:r>
    </w:p>
    <w:p w:rsidR="00574691" w:rsidRDefault="00574691" w:rsidP="00574691">
      <w:pPr>
        <w:spacing w:line="348" w:lineRule="auto"/>
        <w:ind w:firstLineChars="192" w:firstLine="614"/>
        <w:rPr>
          <w:rFonts w:ascii="仿宋" w:eastAsia="仿宋" w:hAnsi="仿宋" w:cs="仿宋"/>
        </w:rPr>
      </w:pPr>
    </w:p>
    <w:p w:rsidR="00574691" w:rsidRDefault="00574691" w:rsidP="00574691">
      <w:pPr>
        <w:spacing w:line="348" w:lineRule="auto"/>
        <w:ind w:firstLineChars="192" w:firstLine="614"/>
        <w:rPr>
          <w:rFonts w:ascii="仿宋_GB2312"/>
        </w:rPr>
      </w:pPr>
    </w:p>
    <w:p w:rsidR="00574691" w:rsidRDefault="00574691" w:rsidP="00574691">
      <w:pPr>
        <w:spacing w:line="348" w:lineRule="auto"/>
        <w:ind w:firstLineChars="192" w:firstLine="614"/>
        <w:rPr>
          <w:rFonts w:ascii="仿宋_GB2312"/>
        </w:rPr>
      </w:pPr>
    </w:p>
    <w:p w:rsidR="00574691" w:rsidRDefault="00574691" w:rsidP="00574691">
      <w:pPr>
        <w:spacing w:line="348" w:lineRule="auto"/>
        <w:ind w:firstLineChars="192" w:firstLine="614"/>
        <w:rPr>
          <w:rFonts w:ascii="仿宋" w:eastAsia="仿宋" w:hAnsi="仿宋"/>
        </w:rPr>
      </w:pPr>
      <w:r>
        <w:rPr>
          <w:rFonts w:ascii="仿宋" w:eastAsia="仿宋" w:hAnsi="仿宋" w:hint="eastAsia"/>
        </w:rPr>
        <w:t>评价方式：</w:t>
      </w:r>
      <w:r>
        <w:rPr>
          <w:rFonts w:ascii="仿宋" w:eastAsia="仿宋" w:hAnsi="仿宋" w:cs="仿宋" w:hint="eastAsia"/>
          <w:sz w:val="28"/>
          <w:szCs w:val="28"/>
        </w:rPr>
        <w:t>部门（单位）评价□     财政评价</w:t>
      </w:r>
      <w:r>
        <w:rPr>
          <w:rFonts w:ascii="仿宋" w:eastAsia="仿宋" w:hAnsi="仿宋" w:cs="仿宋" w:hint="eastAsia"/>
          <w:sz w:val="28"/>
          <w:szCs w:val="28"/>
        </w:rPr>
        <w:sym w:font="Wingdings 2" w:char="0052"/>
      </w:r>
    </w:p>
    <w:p w:rsidR="00574691" w:rsidRDefault="00574691" w:rsidP="00574691">
      <w:pPr>
        <w:spacing w:line="348" w:lineRule="auto"/>
        <w:ind w:firstLineChars="200" w:firstLine="640"/>
        <w:rPr>
          <w:rFonts w:ascii="仿宋" w:eastAsia="仿宋" w:hAnsi="仿宋" w:cs="仿宋"/>
          <w:sz w:val="28"/>
          <w:szCs w:val="28"/>
        </w:rPr>
      </w:pPr>
      <w:r>
        <w:rPr>
          <w:rFonts w:ascii="仿宋" w:eastAsia="仿宋" w:hAnsi="仿宋" w:hint="eastAsia"/>
        </w:rPr>
        <w:t>评价机构：</w:t>
      </w:r>
      <w:r>
        <w:rPr>
          <w:rFonts w:ascii="仿宋" w:eastAsia="仿宋" w:hAnsi="仿宋" w:cs="仿宋" w:hint="eastAsia"/>
          <w:spacing w:val="-17"/>
          <w:sz w:val="28"/>
          <w:szCs w:val="28"/>
        </w:rPr>
        <w:t>第三方机构</w:t>
      </w:r>
      <w:r>
        <w:rPr>
          <w:rFonts w:ascii="仿宋" w:eastAsia="仿宋" w:hAnsi="仿宋" w:cs="仿宋" w:hint="eastAsia"/>
          <w:sz w:val="28"/>
          <w:szCs w:val="28"/>
        </w:rPr>
        <w:sym w:font="Wingdings 2" w:char="0052"/>
      </w:r>
      <w:r>
        <w:rPr>
          <w:rFonts w:ascii="仿宋" w:eastAsia="仿宋" w:hAnsi="仿宋" w:cs="仿宋" w:hint="eastAsia"/>
          <w:spacing w:val="-17"/>
          <w:sz w:val="28"/>
          <w:szCs w:val="28"/>
        </w:rPr>
        <w:t>部门（单位）评价组</w:t>
      </w:r>
      <w:r>
        <w:rPr>
          <w:rFonts w:ascii="仿宋" w:eastAsia="仿宋" w:hAnsi="仿宋" w:cs="仿宋" w:hint="eastAsia"/>
          <w:sz w:val="28"/>
          <w:szCs w:val="28"/>
        </w:rPr>
        <w:t>□</w:t>
      </w:r>
      <w:r>
        <w:rPr>
          <w:rFonts w:ascii="仿宋" w:eastAsia="仿宋" w:hAnsi="仿宋" w:cs="仿宋" w:hint="eastAsia"/>
          <w:spacing w:val="-17"/>
          <w:sz w:val="28"/>
          <w:szCs w:val="28"/>
        </w:rPr>
        <w:t>财政评价组</w:t>
      </w:r>
      <w:r>
        <w:rPr>
          <w:rFonts w:ascii="仿宋" w:eastAsia="仿宋" w:hAnsi="仿宋" w:cs="仿宋" w:hint="eastAsia"/>
          <w:sz w:val="28"/>
          <w:szCs w:val="28"/>
        </w:rPr>
        <w:t>□</w:t>
      </w:r>
    </w:p>
    <w:p w:rsidR="00574691" w:rsidRDefault="00574691" w:rsidP="00574691">
      <w:pPr>
        <w:spacing w:line="348" w:lineRule="auto"/>
        <w:jc w:val="center"/>
        <w:rPr>
          <w:rFonts w:ascii="仿宋_GB2312"/>
        </w:rPr>
      </w:pPr>
    </w:p>
    <w:p w:rsidR="00574691" w:rsidRDefault="00574691" w:rsidP="00574691">
      <w:pPr>
        <w:spacing w:line="348" w:lineRule="auto"/>
        <w:jc w:val="center"/>
        <w:rPr>
          <w:rFonts w:ascii="仿宋_GB2312"/>
        </w:rPr>
      </w:pPr>
    </w:p>
    <w:p w:rsidR="00574691" w:rsidRDefault="00574691" w:rsidP="00574691">
      <w:pPr>
        <w:spacing w:line="348" w:lineRule="auto"/>
        <w:jc w:val="center"/>
        <w:rPr>
          <w:rFonts w:ascii="仿宋_GB2312"/>
          <w:szCs w:val="32"/>
        </w:rPr>
      </w:pPr>
    </w:p>
    <w:p w:rsidR="00574691" w:rsidRDefault="00574691" w:rsidP="00574691">
      <w:pPr>
        <w:pStyle w:val="a8"/>
        <w:ind w:firstLine="640"/>
        <w:rPr>
          <w:rFonts w:ascii="仿宋_GB2312" w:eastAsia="仿宋_GB2312"/>
          <w:sz w:val="32"/>
          <w:szCs w:val="32"/>
        </w:rPr>
      </w:pPr>
    </w:p>
    <w:p w:rsidR="00574691" w:rsidRDefault="00574691" w:rsidP="00574691">
      <w:pPr>
        <w:pStyle w:val="a8"/>
        <w:ind w:firstLine="640"/>
        <w:rPr>
          <w:rFonts w:ascii="仿宋_GB2312" w:eastAsia="仿宋_GB2312"/>
          <w:sz w:val="32"/>
          <w:szCs w:val="32"/>
        </w:rPr>
      </w:pPr>
    </w:p>
    <w:p w:rsidR="00574691" w:rsidRDefault="00574691" w:rsidP="00574691">
      <w:pPr>
        <w:pStyle w:val="a8"/>
        <w:ind w:firstLine="640"/>
        <w:rPr>
          <w:rFonts w:ascii="仿宋_GB2312" w:eastAsia="仿宋_GB2312"/>
          <w:sz w:val="32"/>
          <w:szCs w:val="32"/>
        </w:rPr>
      </w:pPr>
    </w:p>
    <w:p w:rsidR="00574691" w:rsidRDefault="00574691" w:rsidP="00574691">
      <w:pPr>
        <w:spacing w:line="348" w:lineRule="auto"/>
        <w:jc w:val="center"/>
        <w:rPr>
          <w:rFonts w:ascii="仿宋" w:eastAsia="仿宋" w:hAnsi="仿宋" w:cs="仿宋"/>
          <w:szCs w:val="32"/>
        </w:rPr>
      </w:pPr>
      <w:r>
        <w:rPr>
          <w:rFonts w:ascii="仿宋" w:eastAsia="仿宋" w:hAnsi="仿宋" w:cs="仿宋" w:hint="eastAsia"/>
          <w:szCs w:val="32"/>
        </w:rPr>
        <w:t>2021年12月7日</w:t>
      </w:r>
    </w:p>
    <w:p w:rsidR="00574691" w:rsidRDefault="00574691" w:rsidP="00574691">
      <w:pPr>
        <w:spacing w:line="348" w:lineRule="auto"/>
        <w:jc w:val="center"/>
        <w:rPr>
          <w:rFonts w:ascii="仿宋" w:eastAsia="仿宋" w:hAnsi="仿宋" w:cs="仿宋"/>
          <w:sz w:val="28"/>
          <w:szCs w:val="28"/>
        </w:rPr>
      </w:pPr>
      <w:r>
        <w:rPr>
          <w:rFonts w:ascii="仿宋" w:eastAsia="仿宋" w:hAnsi="仿宋" w:cs="仿宋" w:hint="eastAsia"/>
          <w:sz w:val="30"/>
          <w:szCs w:val="30"/>
        </w:rPr>
        <w:t>浙江五联会计师事务所有限公司</w:t>
      </w:r>
    </w:p>
    <w:p w:rsidR="00574691" w:rsidRDefault="00574691" w:rsidP="00574691">
      <w:pPr>
        <w:pStyle w:val="a8"/>
      </w:pPr>
    </w:p>
    <w:p w:rsidR="008D2112" w:rsidRPr="00946597" w:rsidRDefault="008D2112" w:rsidP="008D2112">
      <w:pPr>
        <w:jc w:val="center"/>
        <w:rPr>
          <w:rFonts w:asciiTheme="minorEastAsia" w:eastAsiaTheme="minorEastAsia" w:hAnsiTheme="minorEastAsia" w:cs="Arial"/>
          <w:b/>
          <w:bCs/>
          <w:sz w:val="36"/>
          <w:szCs w:val="36"/>
        </w:rPr>
      </w:pPr>
      <w:r w:rsidRPr="00946597">
        <w:rPr>
          <w:rFonts w:asciiTheme="minorEastAsia" w:eastAsiaTheme="minorEastAsia" w:hAnsiTheme="minorEastAsia" w:cs="Arial" w:hint="eastAsia"/>
          <w:b/>
          <w:bCs/>
          <w:sz w:val="36"/>
          <w:szCs w:val="36"/>
        </w:rPr>
        <w:lastRenderedPageBreak/>
        <w:t>2020年杭州东站枢纽管理委员会五优车站精细化管理维护费项目绩效评价报告</w:t>
      </w:r>
    </w:p>
    <w:p w:rsidR="008D2112" w:rsidRDefault="008D2112" w:rsidP="008D2112">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为了全面评价杭州东站枢纽管理委员会（以下简称“东站管委会”）2020年五优车站精细化管理维护费项目（以下简称“本项目”）的实施情况和效果，加强财政资金管理，提高财政资金使用效益，根据《中共中央国务院关于全面实施预算绩效管理的意见》（2018年9月1日）、《浙江省财政厅关于印发浙江省项目支出绩效评价管理办法的通知》（浙财监督〔2020〕11号）、《中共杭州市上城区委 杭州市上城区人民政府关于全面落实预算绩效管理的实施意见》（上委[2019]42号）、杭州市上城区财政局《关于下达2021年度区绩效抽评项目计划的通知》（上财[2021]31号等文件精神，杭州市上城区财政局委托浙江五联会计师事务所有限公司（以下简称“本所”），组成绩效评价工作组（以下简称“评价组”），通过调研座谈、收集资料、数据分析对本项目开展了绩效评价工作。评价组对相关评价指标进行汇总分析，对照评价指标进行评议与打分，形成杭州东站枢纽管理委员会五优车站精细化管理维护费项目的绩效评价报告。</w:t>
      </w:r>
      <w:bookmarkStart w:id="2" w:name="_Toc88914763"/>
    </w:p>
    <w:p w:rsidR="008D2112" w:rsidRDefault="008D2112" w:rsidP="008D2112">
      <w:pPr>
        <w:adjustRightInd w:val="0"/>
        <w:snapToGrid w:val="0"/>
        <w:spacing w:line="360" w:lineRule="auto"/>
        <w:rPr>
          <w:rFonts w:ascii="仿宋_GB2312" w:hAnsi="仿宋_GB2312" w:cs="仿宋_GB2312"/>
          <w:b/>
          <w:bCs/>
          <w:szCs w:val="32"/>
        </w:rPr>
      </w:pPr>
      <w:r w:rsidRPr="00946597">
        <w:rPr>
          <w:rFonts w:ascii="仿宋_GB2312" w:hAnsi="仿宋_GB2312" w:cs="仿宋_GB2312" w:hint="eastAsia"/>
          <w:b/>
          <w:bCs/>
          <w:szCs w:val="32"/>
        </w:rPr>
        <w:t>一、项目概况</w:t>
      </w:r>
      <w:bookmarkStart w:id="3" w:name="_Toc88914764"/>
      <w:bookmarkEnd w:id="2"/>
    </w:p>
    <w:p w:rsidR="008D2112" w:rsidRPr="008D2112" w:rsidRDefault="008D2112" w:rsidP="008D2112">
      <w:pPr>
        <w:adjustRightInd w:val="0"/>
        <w:snapToGrid w:val="0"/>
        <w:spacing w:line="360" w:lineRule="auto"/>
        <w:rPr>
          <w:rFonts w:ascii="仿宋_GB2312" w:hAnsi="仿宋_GB2312" w:cs="仿宋_GB2312"/>
          <w:szCs w:val="32"/>
        </w:rPr>
      </w:pPr>
      <w:r w:rsidRPr="00946597">
        <w:rPr>
          <w:rFonts w:ascii="仿宋_GB2312" w:hAnsi="仿宋_GB2312" w:cs="仿宋_GB2312" w:hint="eastAsia"/>
          <w:b/>
          <w:bCs/>
          <w:szCs w:val="32"/>
        </w:rPr>
        <w:t>（一）项目背景</w:t>
      </w:r>
      <w:bookmarkEnd w:id="3"/>
    </w:p>
    <w:p w:rsidR="008D2112" w:rsidRPr="00946597" w:rsidRDefault="008D2112" w:rsidP="008D2112">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杭州东站枢纽自2013年7月开通运营以来，是一个目前汇集铁路、地铁、磁浮、公交、出租、长途汽车等多种交</w:t>
      </w:r>
      <w:r w:rsidRPr="00946597">
        <w:rPr>
          <w:rFonts w:ascii="仿宋_GB2312" w:hAnsi="仿宋_GB2312" w:cs="仿宋_GB2312" w:hint="eastAsia"/>
          <w:szCs w:val="32"/>
        </w:rPr>
        <w:lastRenderedPageBreak/>
        <w:t>通方式和配套服务设施于一体，并可实现立体无缝交通换乘的特大型交通枢纽站。为加强对杭州东站枢纽地区的综合管理，维护区域公共环境秩序，保障交通枢纽功能，营造安全、便捷、温馨的服务环境，杭州市人民政府办公厅于2013年6月28人日发布了《杭州市人民政府办公厅关于印发杭州东站枢纽地区综合管理暂行办法的通知》（杭政办函[2013]127号）。</w:t>
      </w:r>
    </w:p>
    <w:p w:rsidR="001836CB" w:rsidRDefault="008D2112" w:rsidP="001836CB">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在杭州市、上城区区政府领导的高度重视下，在市、区各部门的大力支持下，东站管委会以打造“最温馨的国际化枢纽驿站”为目标，努力实现“管理执法最优、温馨服务最优、平安维稳最优、枢纽经济最优、同心共建最优”，最终实现“五优”车站管理的新跨越，加快建成亚太地区重要国际门户枢纽。为了支持东站枢纽地区的管理工作，东站管委会设立了五优车站精细化管理维护费用专项资金，用于消杀工作、公众责任险费、市政设施维修费提升和违法车辆停车费的使用。</w:t>
      </w:r>
      <w:bookmarkStart w:id="4" w:name="_Toc88914765"/>
    </w:p>
    <w:p w:rsidR="008D2112" w:rsidRPr="001836CB" w:rsidRDefault="008D2112" w:rsidP="001836CB">
      <w:pPr>
        <w:adjustRightInd w:val="0"/>
        <w:snapToGrid w:val="0"/>
        <w:spacing w:line="360" w:lineRule="auto"/>
        <w:ind w:firstLineChars="200" w:firstLine="643"/>
        <w:rPr>
          <w:rFonts w:ascii="仿宋_GB2312" w:hAnsi="仿宋_GB2312" w:cs="仿宋_GB2312"/>
          <w:szCs w:val="32"/>
        </w:rPr>
      </w:pPr>
      <w:r w:rsidRPr="00946597">
        <w:rPr>
          <w:rFonts w:ascii="仿宋_GB2312" w:hAnsi="仿宋_GB2312" w:cs="仿宋_GB2312" w:hint="eastAsia"/>
          <w:b/>
          <w:bCs/>
        </w:rPr>
        <w:t>（二）组织实施情况</w:t>
      </w:r>
      <w:bookmarkEnd w:id="4"/>
    </w:p>
    <w:p w:rsidR="008D2112" w:rsidRPr="00946597" w:rsidRDefault="008D2112" w:rsidP="008D2112">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根据杭州市人民政府办公厅下发的《杭州东站枢纽地区综合管理暂行办法》规定，东站管委会对东站枢纽地区范围为东至环站东路、南至环站南路、西至环站西路、北至环站北路，面积约2.58平方公里的区域进行综合管理活动。</w:t>
      </w:r>
    </w:p>
    <w:p w:rsidR="008D2112" w:rsidRPr="00946597" w:rsidRDefault="008D2112" w:rsidP="008D2112">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根据杭州市人民政府办公厅《关于贯彻&lt;杭州市爱国卫</w:t>
      </w:r>
      <w:r w:rsidRPr="00946597">
        <w:rPr>
          <w:rFonts w:ascii="仿宋_GB2312" w:hAnsi="仿宋_GB2312" w:cs="仿宋_GB2312" w:hint="eastAsia"/>
          <w:szCs w:val="32"/>
        </w:rPr>
        <w:lastRenderedPageBreak/>
        <w:t>生条例&gt;进一步加强爱国卫生工作的通知》（杭政办函〔2017〕131号）、原江干区人民政府办公室关于印发《杭州市江干区人民政府关于进一步加强新时期爱国卫生工作的意见》江政办发〔2018 ]号文件精神，东站管委会负责对东站枢纽区域进行四害的消杀工作。按照《小额公共资源交易管理工作制度》、《杭州东站枢纽管理委员会政府投资类工程项目管理制度》规定委托第三方发布招标公告，对投标单位进行资格审核，筛选出4家单位进行专家评标，对中标单位发放中标书。根据合同规定，消杀工作（11月-4月）每月2次、（5月-12月）每月4次，分常态时段和特殊时期消杀范围。常态时段是对辖区绿化带、下水道、东西广场、到达层进行消杀，特殊时期扩展范围出发层、地下车库等枢纽区域的消杀。每季度消杀完成后，服务范围现场效果形成服务报告单，要求每季度发放消杀满意度评价调查问卷，管委会每季度对消杀工作进行考核打分，每季度所有资料形成除四害台账。管委会每季度考核分达到90分以上方可支付合同总价的四分之一款项。在2020年原江干区环卫工作评审中，被杭州市原江干区城市管理局、杭州市原江干区城市环境协会评为“2020年度江干区环卫工作先进集体”。</w:t>
      </w:r>
    </w:p>
    <w:p w:rsidR="008D2112" w:rsidRPr="00946597" w:rsidRDefault="008D2112" w:rsidP="008D2112">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高铁出行已越来越常态化，为了给东站枢纽区域内人员活动及进出旅客生命财产一个保障，为了更好地把控管理风险、降低管理成本。东站管委会每年安排专项资金购置公众</w:t>
      </w:r>
      <w:r w:rsidRPr="00946597">
        <w:rPr>
          <w:rFonts w:ascii="仿宋_GB2312" w:hAnsi="仿宋_GB2312" w:cs="仿宋_GB2312" w:hint="eastAsia"/>
          <w:szCs w:val="32"/>
        </w:rPr>
        <w:lastRenderedPageBreak/>
        <w:t>责任保险。2020年，东站管委会与中国人民财产保险股份有限公司签订了公众责任险保单，投保时间从2020年1月14日到2021年1月13日。累计责任额度为30,000,000.00元，每次事故每人责任限额1,000,000.00元，每次事故责任限额3,000,000.00元，每次事故财产损失责任限额500,000.00元。2020年共出险了2起意外事故，理赔金额为3,300.00元。</w:t>
      </w:r>
    </w:p>
    <w:p w:rsidR="008D2112" w:rsidRPr="00946597" w:rsidRDefault="008D2112" w:rsidP="008D2112">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根据《关于规范“三重一大”重要事项集体决策机制建设的若干规定（试行）》（江委办〔2016〕104号）文件精神和《杭州东站枢纽管理委员会政府投资类工程项目管理制度》、《小额公共资源交易管理工作制度》规定，东站管委会委托招标代理公司对杭州东站东西广场站体柱底处沉降维修工程公开招标。本次招标共收到三家公司的投标方案。评审专家委员会对三家建工单位进行符合性、资信、技术、商务四个方面的评审，评出第一中标候选人并进行公示。东站管委会根据《中华人民共和国经济合同法》与中标单位签订施工合同，计划施工工期从2020年11月27日到2020年12月6日，总日历天数为10天，规定工程款分四次支付。东站管委会委托监理单位对工程进行监理，委托工程造价咨询公司对本次项目进行审计。2020年12月1日监理单位组织建设单位、施工单位到施工现场对施工项目进行初验验收，初验评定为合格，东站管委会支付第一笔工程款74,750.00</w:t>
      </w:r>
      <w:r w:rsidRPr="00946597">
        <w:rPr>
          <w:rFonts w:ascii="仿宋_GB2312" w:hAnsi="仿宋_GB2312" w:cs="仿宋_GB2312" w:hint="eastAsia"/>
          <w:szCs w:val="32"/>
        </w:rPr>
        <w:lastRenderedPageBreak/>
        <w:t>元；2020年12月8日建设单位召开竣工验收会议，竣工验收评定为合格工程，东站管委会支付第二笔工程款44,850.00元。浙江华耀建设咨询有限公司对工程结算出具了浙华耀咨[2020]1385号工程造价咨询报告书，审定的工程款为144,454.00元，核减5,046.00元。东站管委会根据报告审定的金额支付第三笔工程款22,687.00元。在缺陷责任期满后且无质量缺陷后30日内于2020年12月21日支付第四笔工程款2,167.00元。</w:t>
      </w:r>
    </w:p>
    <w:p w:rsidR="001836CB" w:rsidRDefault="008D2112" w:rsidP="001836CB">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东站管委会承担本区域综合交通应急保障工作，协助上城（原江干）交警和铁路交警加大违章停车的打击力度，加强东站枢纽区域违章车辆托运停放的管理工。根据东站管委会与杭州泽大物业管理有限公司、杭州腾嘉汽车租赁有限公司签订的《东站枢纽违章停车管理服务协议》，划分一定区域的车位供违章车辆停放。管理公司做好车辆进出统计，每月底核算停车数量和结算费用，将费用明细清单提供东站管委会核对。东站管委会核对费用明细清单，确认无误后在次月结算上月停车费，月度总费用不到2万元按照实际费用结算，超过2万元按2万元封顶计算。</w:t>
      </w:r>
      <w:bookmarkStart w:id="5" w:name="_Toc88914766"/>
    </w:p>
    <w:p w:rsidR="008D2112" w:rsidRPr="001836CB" w:rsidRDefault="008D2112" w:rsidP="001836CB">
      <w:pPr>
        <w:adjustRightInd w:val="0"/>
        <w:snapToGrid w:val="0"/>
        <w:spacing w:line="360" w:lineRule="auto"/>
        <w:ind w:firstLineChars="200" w:firstLine="643"/>
        <w:rPr>
          <w:rFonts w:ascii="仿宋_GB2312" w:hAnsi="仿宋_GB2312" w:cs="仿宋_GB2312"/>
          <w:szCs w:val="32"/>
        </w:rPr>
      </w:pPr>
      <w:r w:rsidRPr="00946597">
        <w:rPr>
          <w:rFonts w:ascii="仿宋_GB2312" w:hAnsi="仿宋_GB2312" w:cs="仿宋_GB2312" w:hint="eastAsia"/>
          <w:b/>
          <w:bCs/>
        </w:rPr>
        <w:t>（三）资金管理情况</w:t>
      </w:r>
      <w:bookmarkEnd w:id="5"/>
    </w:p>
    <w:p w:rsidR="008D2112" w:rsidRPr="00946597" w:rsidRDefault="008D2112" w:rsidP="008D2112">
      <w:pPr>
        <w:widowControl/>
        <w:shd w:val="clear" w:color="auto" w:fill="FFFFFF"/>
        <w:spacing w:line="360" w:lineRule="auto"/>
        <w:ind w:firstLine="562"/>
        <w:rPr>
          <w:rFonts w:ascii="仿宋_GB2312" w:hAnsi="仿宋_GB2312" w:cs="仿宋_GB2312"/>
          <w:szCs w:val="32"/>
        </w:rPr>
      </w:pPr>
      <w:r w:rsidRPr="00946597">
        <w:rPr>
          <w:rFonts w:ascii="仿宋_GB2312" w:hAnsi="仿宋_GB2312" w:cs="仿宋_GB2312" w:hint="eastAsia"/>
          <w:szCs w:val="32"/>
        </w:rPr>
        <w:t>东站管委会2020年五优车站精细化管理维护费预算资金共计600,000.00元,其中消杀经费100,000.00元、公众责任险费100,000.00元、市政设施维修费150,000.00元和</w:t>
      </w:r>
      <w:r w:rsidRPr="00946597">
        <w:rPr>
          <w:rFonts w:ascii="仿宋_GB2312" w:hAnsi="仿宋_GB2312" w:cs="仿宋_GB2312" w:hint="eastAsia"/>
          <w:szCs w:val="32"/>
        </w:rPr>
        <w:lastRenderedPageBreak/>
        <w:t>违章车辆停车费250,000.00元。在实际支出过程中，共计支出598,685.20元。东站管委会为了做好资金管理，制定了《杭州东站枢纽管理委员会财务管理制度》、《杭州东站枢纽管理委员会内部审计工作办法》等财务管理制度。</w:t>
      </w:r>
    </w:p>
    <w:p w:rsidR="008D2112" w:rsidRPr="00946597" w:rsidRDefault="008D2112" w:rsidP="008D2112">
      <w:pPr>
        <w:pStyle w:val="a8"/>
        <w:spacing w:line="360" w:lineRule="auto"/>
        <w:ind w:firstLine="640"/>
        <w:rPr>
          <w:rFonts w:ascii="仿宋_GB2312" w:eastAsia="仿宋_GB2312" w:hAnsi="仿宋_GB2312" w:cs="仿宋_GB2312"/>
          <w:sz w:val="32"/>
          <w:szCs w:val="32"/>
        </w:rPr>
      </w:pPr>
      <w:r w:rsidRPr="00946597">
        <w:rPr>
          <w:rFonts w:ascii="仿宋_GB2312" w:eastAsia="仿宋_GB2312" w:hAnsi="仿宋_GB2312" w:cs="仿宋_GB2312" w:hint="eastAsia"/>
          <w:sz w:val="32"/>
          <w:szCs w:val="32"/>
        </w:rPr>
        <w:t>五优车站精细化管理维护费消杀项目、公众责任险项目、市政设施维修项目、违章车辆停车项目严格按照合同规定支付款项，付款合规；原始资料如合同、发票、达标的考核表、资金审批表、验收单等原始资料齐全；支付金额及时准确。</w:t>
      </w:r>
    </w:p>
    <w:p w:rsidR="001836CB" w:rsidRDefault="008D2112" w:rsidP="001836CB">
      <w:pPr>
        <w:widowControl/>
        <w:shd w:val="clear" w:color="auto" w:fill="FFFFFF"/>
        <w:spacing w:line="360" w:lineRule="auto"/>
        <w:ind w:firstLine="562"/>
        <w:rPr>
          <w:rFonts w:ascii="仿宋_GB2312" w:hAnsi="仿宋_GB2312" w:cs="仿宋_GB2312"/>
          <w:szCs w:val="32"/>
        </w:rPr>
      </w:pPr>
      <w:r w:rsidRPr="00946597">
        <w:rPr>
          <w:rFonts w:ascii="仿宋_GB2312" w:hAnsi="仿宋_GB2312" w:cs="仿宋_GB2312" w:hint="eastAsia"/>
          <w:szCs w:val="32"/>
        </w:rPr>
        <w:t>出租车通道运维管理项目和枢纽区域氛围美化及摆放项目专家费和评审费的8,800.00元原属上述项目专项预算，但在五优车站精细化管理维护项目预算中列支，存在预算资金错位使用现象。</w:t>
      </w:r>
      <w:bookmarkStart w:id="6" w:name="_Toc88914767"/>
    </w:p>
    <w:p w:rsidR="001836CB" w:rsidRDefault="008D2112" w:rsidP="001836CB">
      <w:pPr>
        <w:widowControl/>
        <w:shd w:val="clear" w:color="auto" w:fill="FFFFFF"/>
        <w:spacing w:line="360" w:lineRule="auto"/>
        <w:ind w:firstLine="562"/>
        <w:rPr>
          <w:rFonts w:ascii="仿宋_GB2312" w:hAnsi="仿宋_GB2312" w:cs="仿宋_GB2312"/>
          <w:b/>
          <w:bCs/>
          <w:szCs w:val="32"/>
        </w:rPr>
      </w:pPr>
      <w:r w:rsidRPr="00946597">
        <w:rPr>
          <w:rFonts w:ascii="仿宋_GB2312" w:hAnsi="仿宋_GB2312" w:cs="仿宋_GB2312" w:hint="eastAsia"/>
          <w:b/>
          <w:bCs/>
          <w:szCs w:val="32"/>
        </w:rPr>
        <w:t>二、绩效分析及评价结论</w:t>
      </w:r>
      <w:bookmarkStart w:id="7" w:name="_Toc88914768"/>
      <w:bookmarkEnd w:id="6"/>
    </w:p>
    <w:p w:rsidR="008D2112" w:rsidRPr="001836CB" w:rsidRDefault="008D2112" w:rsidP="001836CB">
      <w:pPr>
        <w:widowControl/>
        <w:shd w:val="clear" w:color="auto" w:fill="FFFFFF"/>
        <w:spacing w:line="360" w:lineRule="auto"/>
        <w:ind w:firstLine="562"/>
        <w:rPr>
          <w:rFonts w:ascii="仿宋_GB2312" w:hAnsi="仿宋_GB2312" w:cs="仿宋_GB2312"/>
          <w:szCs w:val="32"/>
        </w:rPr>
      </w:pPr>
      <w:r w:rsidRPr="00946597">
        <w:rPr>
          <w:rFonts w:ascii="仿宋_GB2312" w:hAnsi="仿宋_GB2312" w:cs="仿宋_GB2312" w:hint="eastAsia"/>
          <w:b/>
          <w:bCs/>
          <w:szCs w:val="32"/>
        </w:rPr>
        <w:t>（一）绩效评价对象、目的和范围</w:t>
      </w:r>
      <w:bookmarkEnd w:id="7"/>
    </w:p>
    <w:p w:rsidR="008D2112" w:rsidRPr="00946597" w:rsidRDefault="008D2112" w:rsidP="008D2112">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本次绩效评价对象是东站管委会五优车站精细化管理维护费项目预算执行情况、项目执行情况、产出情况和效益情况等，以实施期间的评价更加注重决策、过程和产出，实施期结束后的评价更加注重产出和效益为导向。</w:t>
      </w:r>
    </w:p>
    <w:p w:rsidR="008D2112" w:rsidRPr="00946597" w:rsidRDefault="008D2112" w:rsidP="008D2112">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评价目的是通过建立全过程多维度预算绩效管理体系，不断提高决策管理科学化水平，进一步推进上城区财政绩效管理工作，提高财政资金使用效率和效益，真正将财政资金落到实处。</w:t>
      </w:r>
    </w:p>
    <w:p w:rsidR="001836CB" w:rsidRDefault="008D2112" w:rsidP="001836CB">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lastRenderedPageBreak/>
        <w:t>评价范围为四类项目2020年度预算执行情况、项目执行产出和项目效益，并从业务方面、财务方面和相关利益方满意度多维度评价。</w:t>
      </w:r>
      <w:bookmarkStart w:id="8" w:name="_Toc88914769"/>
    </w:p>
    <w:p w:rsidR="001836CB" w:rsidRDefault="008D2112" w:rsidP="001836CB">
      <w:pPr>
        <w:adjustRightInd w:val="0"/>
        <w:snapToGrid w:val="0"/>
        <w:spacing w:line="360" w:lineRule="auto"/>
        <w:ind w:firstLineChars="200" w:firstLine="643"/>
        <w:rPr>
          <w:rFonts w:ascii="仿宋_GB2312" w:hAnsi="仿宋_GB2312" w:cs="仿宋_GB2312"/>
          <w:b/>
          <w:bCs/>
          <w:szCs w:val="32"/>
        </w:rPr>
      </w:pPr>
      <w:r w:rsidRPr="00946597">
        <w:rPr>
          <w:rFonts w:ascii="仿宋_GB2312" w:hAnsi="仿宋_GB2312" w:cs="仿宋_GB2312" w:hint="eastAsia"/>
          <w:b/>
          <w:bCs/>
          <w:szCs w:val="32"/>
        </w:rPr>
        <w:t>（二）绩效评价原则、评价指标体系、评价方法、评价标准</w:t>
      </w:r>
      <w:bookmarkStart w:id="9" w:name="_Toc88914770"/>
      <w:bookmarkEnd w:id="8"/>
    </w:p>
    <w:p w:rsidR="008D2112" w:rsidRPr="001836CB" w:rsidRDefault="008D2112" w:rsidP="001836CB">
      <w:pPr>
        <w:adjustRightInd w:val="0"/>
        <w:snapToGrid w:val="0"/>
        <w:spacing w:line="360" w:lineRule="auto"/>
        <w:ind w:firstLineChars="200" w:firstLine="643"/>
        <w:rPr>
          <w:rFonts w:ascii="仿宋_GB2312" w:hAnsi="仿宋_GB2312" w:cs="仿宋_GB2312"/>
          <w:szCs w:val="32"/>
        </w:rPr>
      </w:pPr>
      <w:r w:rsidRPr="00946597">
        <w:rPr>
          <w:rFonts w:ascii="仿宋_GB2312" w:hAnsi="仿宋_GB2312" w:cs="仿宋_GB2312" w:hint="eastAsia"/>
          <w:b/>
          <w:bCs/>
        </w:rPr>
        <w:t>1</w:t>
      </w:r>
      <w:r w:rsidR="001836CB">
        <w:rPr>
          <w:rFonts w:ascii="仿宋_GB2312" w:hAnsi="仿宋_GB2312" w:cs="仿宋_GB2312" w:hint="eastAsia"/>
          <w:b/>
          <w:bCs/>
        </w:rPr>
        <w:t>.</w:t>
      </w:r>
      <w:r w:rsidRPr="00946597">
        <w:rPr>
          <w:rFonts w:ascii="仿宋_GB2312" w:hAnsi="仿宋_GB2312" w:cs="仿宋_GB2312" w:hint="eastAsia"/>
          <w:b/>
          <w:bCs/>
        </w:rPr>
        <w:t>绩效评价原则</w:t>
      </w:r>
      <w:bookmarkEnd w:id="9"/>
    </w:p>
    <w:p w:rsidR="001836CB" w:rsidRDefault="008D2112" w:rsidP="001836CB">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本次绩效评价力求在科学客观公正的前提下，重视实施前实施中和实施后全流程合规评价、突出产出和社会效益原则，实事求是反映项目情况。</w:t>
      </w:r>
      <w:bookmarkStart w:id="10" w:name="_Toc88914771"/>
    </w:p>
    <w:p w:rsidR="008D2112" w:rsidRPr="001836CB" w:rsidRDefault="008D2112" w:rsidP="001836CB">
      <w:pPr>
        <w:adjustRightInd w:val="0"/>
        <w:snapToGrid w:val="0"/>
        <w:spacing w:line="360" w:lineRule="auto"/>
        <w:ind w:firstLineChars="200" w:firstLine="643"/>
        <w:rPr>
          <w:rFonts w:ascii="仿宋_GB2312" w:hAnsi="仿宋_GB2312" w:cs="仿宋_GB2312"/>
          <w:szCs w:val="32"/>
        </w:rPr>
      </w:pPr>
      <w:r w:rsidRPr="00946597">
        <w:rPr>
          <w:rFonts w:ascii="仿宋_GB2312" w:hAnsi="仿宋_GB2312" w:cs="仿宋_GB2312" w:hint="eastAsia"/>
          <w:b/>
          <w:bCs/>
          <w:szCs w:val="32"/>
        </w:rPr>
        <w:t>2</w:t>
      </w:r>
      <w:r w:rsidR="001836CB">
        <w:rPr>
          <w:rFonts w:ascii="仿宋_GB2312" w:hAnsi="仿宋_GB2312" w:cs="仿宋_GB2312" w:hint="eastAsia"/>
          <w:b/>
          <w:bCs/>
          <w:szCs w:val="32"/>
        </w:rPr>
        <w:t>.</w:t>
      </w:r>
      <w:r w:rsidRPr="00946597">
        <w:rPr>
          <w:rFonts w:ascii="仿宋_GB2312" w:hAnsi="仿宋_GB2312" w:cs="仿宋_GB2312" w:hint="eastAsia"/>
          <w:b/>
          <w:bCs/>
          <w:szCs w:val="32"/>
        </w:rPr>
        <w:t>评价指标体系</w:t>
      </w:r>
      <w:bookmarkEnd w:id="10"/>
    </w:p>
    <w:p w:rsidR="001836CB" w:rsidRDefault="008D2112" w:rsidP="001836CB">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评价指标体系是评价的标准，是项目绩效评价的核心。评价组根据绩效评价的基本原理、原则和项目特点，结合绩效目标，依据实际情况、遵循逻辑分析的方法，独立确立评价指标体系，主要包括业务指标、财务指标、满意度指标三部分内容，围绕资金使用、资源配置、项目管理等客观分析项目的产出和效果，体现从投入到过程、产出和效果的绩效逻辑路径。</w:t>
      </w:r>
      <w:bookmarkStart w:id="11" w:name="_Toc88914772"/>
    </w:p>
    <w:p w:rsidR="008D2112" w:rsidRPr="001836CB" w:rsidRDefault="008D2112" w:rsidP="001836CB">
      <w:pPr>
        <w:adjustRightInd w:val="0"/>
        <w:snapToGrid w:val="0"/>
        <w:spacing w:line="360" w:lineRule="auto"/>
        <w:ind w:firstLineChars="200" w:firstLine="643"/>
        <w:rPr>
          <w:rFonts w:ascii="仿宋_GB2312" w:hAnsi="仿宋_GB2312" w:cs="仿宋_GB2312"/>
          <w:szCs w:val="32"/>
        </w:rPr>
      </w:pPr>
      <w:r w:rsidRPr="00946597">
        <w:rPr>
          <w:rFonts w:ascii="仿宋_GB2312" w:hAnsi="仿宋_GB2312" w:cs="仿宋_GB2312" w:hint="eastAsia"/>
          <w:b/>
          <w:bCs/>
          <w:szCs w:val="32"/>
        </w:rPr>
        <w:t>3</w:t>
      </w:r>
      <w:r w:rsidR="001836CB">
        <w:rPr>
          <w:rFonts w:ascii="仿宋_GB2312" w:hAnsi="仿宋_GB2312" w:cs="仿宋_GB2312" w:hint="eastAsia"/>
          <w:b/>
          <w:bCs/>
          <w:szCs w:val="32"/>
        </w:rPr>
        <w:t>.</w:t>
      </w:r>
      <w:r w:rsidRPr="00946597">
        <w:rPr>
          <w:rFonts w:ascii="仿宋_GB2312" w:hAnsi="仿宋_GB2312" w:cs="仿宋_GB2312" w:hint="eastAsia"/>
          <w:b/>
          <w:bCs/>
          <w:szCs w:val="32"/>
        </w:rPr>
        <w:t>评价方法</w:t>
      </w:r>
      <w:bookmarkEnd w:id="11"/>
    </w:p>
    <w:p w:rsidR="001836CB" w:rsidRDefault="008D2112" w:rsidP="001836CB">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本次评价采用询问查证法、材料核实、目标比较法、充分利用自评结果方式。具体实施：目标预定与实施效果比较、定性与定量综合分析的评价方法，以及自评材料书面评审、审核分析、实地核查相结合等评价方法，将预期目标与项目</w:t>
      </w:r>
      <w:r w:rsidRPr="00946597">
        <w:rPr>
          <w:rFonts w:ascii="仿宋_GB2312" w:hAnsi="仿宋_GB2312" w:cs="仿宋_GB2312" w:hint="eastAsia"/>
          <w:szCs w:val="32"/>
        </w:rPr>
        <w:lastRenderedPageBreak/>
        <w:t>实际执行过程进行核对；结合自评得分，分析评价之后，最后综合认定专项资金的最终评价得分及绩效等级。</w:t>
      </w:r>
      <w:bookmarkStart w:id="12" w:name="_Toc88914773"/>
    </w:p>
    <w:p w:rsidR="008D2112" w:rsidRPr="001836CB" w:rsidRDefault="008D2112" w:rsidP="001836CB">
      <w:pPr>
        <w:adjustRightInd w:val="0"/>
        <w:snapToGrid w:val="0"/>
        <w:spacing w:line="360" w:lineRule="auto"/>
        <w:ind w:firstLineChars="200" w:firstLine="643"/>
        <w:rPr>
          <w:rFonts w:ascii="仿宋_GB2312" w:hAnsi="仿宋_GB2312" w:cs="仿宋_GB2312"/>
          <w:szCs w:val="32"/>
        </w:rPr>
      </w:pPr>
      <w:r w:rsidRPr="00946597">
        <w:rPr>
          <w:rFonts w:ascii="仿宋_GB2312" w:hAnsi="仿宋_GB2312" w:cs="仿宋_GB2312" w:hint="eastAsia"/>
          <w:b/>
          <w:bCs/>
          <w:szCs w:val="32"/>
        </w:rPr>
        <w:t>4</w:t>
      </w:r>
      <w:r w:rsidR="001836CB">
        <w:rPr>
          <w:rFonts w:ascii="仿宋_GB2312" w:hAnsi="仿宋_GB2312" w:cs="仿宋_GB2312" w:hint="eastAsia"/>
          <w:b/>
          <w:bCs/>
          <w:szCs w:val="32"/>
        </w:rPr>
        <w:t>.</w:t>
      </w:r>
      <w:r w:rsidRPr="00946597">
        <w:rPr>
          <w:rFonts w:ascii="仿宋_GB2312" w:hAnsi="仿宋_GB2312" w:cs="仿宋_GB2312" w:hint="eastAsia"/>
          <w:b/>
          <w:bCs/>
          <w:szCs w:val="32"/>
        </w:rPr>
        <w:t>评价标准</w:t>
      </w:r>
      <w:bookmarkEnd w:id="12"/>
    </w:p>
    <w:p w:rsidR="001836CB" w:rsidRDefault="008D2112" w:rsidP="001836CB">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本次绩效评价标准包括计划标准和历史标准，用于对绩效指标完成情况进行比较。其中计划标准，是以预先制定的目标、计划、预算、定额等作为评价标准；历史标准，是参照往期实施情况制定的评价标准。</w:t>
      </w:r>
      <w:bookmarkStart w:id="13" w:name="_Toc88914774"/>
    </w:p>
    <w:p w:rsidR="008D2112" w:rsidRPr="001836CB" w:rsidRDefault="008D2112" w:rsidP="001836CB">
      <w:pPr>
        <w:adjustRightInd w:val="0"/>
        <w:snapToGrid w:val="0"/>
        <w:spacing w:line="360" w:lineRule="auto"/>
        <w:ind w:firstLineChars="200" w:firstLine="643"/>
        <w:rPr>
          <w:rFonts w:ascii="仿宋_GB2312" w:hAnsi="仿宋_GB2312" w:cs="仿宋_GB2312"/>
          <w:szCs w:val="32"/>
        </w:rPr>
      </w:pPr>
      <w:r w:rsidRPr="00946597">
        <w:rPr>
          <w:rFonts w:ascii="仿宋_GB2312" w:hAnsi="仿宋_GB2312" w:cs="仿宋_GB2312" w:hint="eastAsia"/>
          <w:b/>
          <w:bCs/>
          <w:szCs w:val="32"/>
        </w:rPr>
        <w:t>（三）绩效评价工作过程</w:t>
      </w:r>
      <w:bookmarkEnd w:id="13"/>
    </w:p>
    <w:p w:rsidR="008D2112" w:rsidRPr="00946597" w:rsidRDefault="008D2112" w:rsidP="008D2112">
      <w:pPr>
        <w:adjustRightInd w:val="0"/>
        <w:snapToGrid w:val="0"/>
        <w:spacing w:line="360" w:lineRule="auto"/>
        <w:ind w:firstLineChars="200" w:firstLine="640"/>
        <w:rPr>
          <w:rFonts w:ascii="仿宋_GB2312" w:hAnsi="仿宋_GB2312" w:cs="仿宋_GB2312"/>
          <w:szCs w:val="32"/>
        </w:rPr>
      </w:pPr>
      <w:bookmarkStart w:id="14" w:name="_Toc88914210"/>
      <w:r w:rsidRPr="00946597">
        <w:rPr>
          <w:rFonts w:ascii="仿宋_GB2312" w:hAnsi="仿宋_GB2312" w:cs="仿宋_GB2312" w:hint="eastAsia"/>
          <w:szCs w:val="32"/>
        </w:rPr>
        <w:t>2021年11月，本所接受杭州市上城区财政局委托，对东站管委会五优车站精细化管理维护费专项进行绩效评价。我们组成评价组，通过前期调研，形成项目绩效评价工作方案。</w:t>
      </w:r>
      <w:bookmarkEnd w:id="14"/>
    </w:p>
    <w:p w:rsidR="008D2112" w:rsidRPr="001836CB" w:rsidRDefault="008D2112" w:rsidP="001836CB">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通过实地走访，约见业务科、财务科相关负责人了解项目情况；建立绩效评价工作群，便于沟通确认和资料收取；收集相关文件资料，通过采集数据及复核、整理数据及分析、反复沟通确认等工作环节，顺利完成本项目的绩效评价工作。</w:t>
      </w:r>
      <w:bookmarkStart w:id="15" w:name="_Toc88914775"/>
      <w:r w:rsidR="001836CB">
        <w:rPr>
          <w:rFonts w:ascii="仿宋_GB2312" w:hAnsi="仿宋_GB2312" w:cs="仿宋_GB2312" w:hint="eastAsia"/>
          <w:szCs w:val="32"/>
        </w:rPr>
        <w:t xml:space="preserve">        </w:t>
      </w:r>
      <w:r w:rsidR="001836CB" w:rsidRPr="00946597">
        <w:rPr>
          <w:rFonts w:ascii="仿宋_GB2312" w:hAnsi="仿宋_GB2312" w:cs="仿宋_GB2312" w:hint="eastAsia"/>
          <w:b/>
          <w:bCs/>
          <w:szCs w:val="32"/>
        </w:rPr>
        <w:t>（四）综合评价情况及评价结论</w:t>
      </w:r>
      <w:bookmarkEnd w:id="15"/>
    </w:p>
    <w:p w:rsidR="008D2112" w:rsidRPr="00946597" w:rsidRDefault="008D2112" w:rsidP="008D2112">
      <w:pPr>
        <w:adjustRightInd w:val="0"/>
        <w:snapToGrid w:val="0"/>
        <w:spacing w:line="360" w:lineRule="auto"/>
        <w:ind w:firstLineChars="200" w:firstLine="640"/>
        <w:rPr>
          <w:rFonts w:ascii="仿宋_GB2312" w:hAnsi="仿宋_GB2312" w:cs="仿宋_GB2312"/>
          <w:szCs w:val="32"/>
        </w:rPr>
      </w:pPr>
      <w:r w:rsidRPr="00946597">
        <w:rPr>
          <w:rFonts w:ascii="仿宋_GB2312" w:hAnsi="仿宋_GB2312" w:cs="仿宋_GB2312" w:hint="eastAsia"/>
          <w:szCs w:val="32"/>
        </w:rPr>
        <w:t>评价组使用经与财政部门确认的指标评价体系及评分标准，通过对基础数据的采集、相关人员的访谈、问卷调查的发放，对杭州东站枢纽管理委员会五优车站精细化管理维护费项目，从项目立项、组织实施、产出完成、项目效益、财务管理、满意度六个维度进行了独立客观的评价。从绩效</w:t>
      </w:r>
      <w:r w:rsidRPr="00946597">
        <w:rPr>
          <w:rFonts w:ascii="仿宋_GB2312" w:hAnsi="仿宋_GB2312" w:cs="仿宋_GB2312" w:hint="eastAsia"/>
          <w:szCs w:val="32"/>
        </w:rPr>
        <w:lastRenderedPageBreak/>
        <w:t>评价情况看，杭州东站管委会项目内容科学、规范，最后评定本项目综合评价得分9</w:t>
      </w:r>
      <w:r w:rsidRPr="00946597">
        <w:rPr>
          <w:rFonts w:ascii="仿宋_GB2312" w:hAnsi="仿宋_GB2312" w:cs="仿宋_GB2312"/>
          <w:szCs w:val="32"/>
        </w:rPr>
        <w:t>3.2</w:t>
      </w:r>
      <w:r w:rsidRPr="00946597">
        <w:rPr>
          <w:rFonts w:ascii="仿宋_GB2312" w:hAnsi="仿宋_GB2312" w:cs="仿宋_GB2312" w:hint="eastAsia"/>
          <w:szCs w:val="32"/>
        </w:rPr>
        <w:t>0分，绩效评级为“优”</w:t>
      </w:r>
    </w:p>
    <w:p w:rsidR="008D2112" w:rsidRPr="001836CB" w:rsidRDefault="008D2112" w:rsidP="001836CB">
      <w:pPr>
        <w:adjustRightInd w:val="0"/>
        <w:snapToGrid w:val="0"/>
        <w:spacing w:line="360" w:lineRule="auto"/>
        <w:ind w:firstLineChars="200" w:firstLine="482"/>
        <w:rPr>
          <w:rFonts w:ascii="仿宋" w:eastAsia="仿宋" w:hAnsi="仿宋"/>
          <w:b/>
          <w:sz w:val="24"/>
        </w:rPr>
      </w:pPr>
      <w:r w:rsidRPr="001836CB">
        <w:rPr>
          <w:rFonts w:ascii="仿宋" w:eastAsia="仿宋" w:hAnsi="仿宋" w:hint="eastAsia"/>
          <w:b/>
          <w:sz w:val="24"/>
        </w:rPr>
        <w:t>最终得分情况见下表：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9"/>
        <w:gridCol w:w="2573"/>
        <w:gridCol w:w="1394"/>
        <w:gridCol w:w="2086"/>
      </w:tblGrid>
      <w:tr w:rsidR="008D2112" w:rsidTr="000B76E8">
        <w:trPr>
          <w:cantSplit/>
          <w:trHeight w:val="510"/>
          <w:tblHeader/>
        </w:trPr>
        <w:tc>
          <w:tcPr>
            <w:tcW w:w="1448" w:type="pct"/>
            <w:tcBorders>
              <w:bottom w:val="single" w:sz="4" w:space="0" w:color="auto"/>
            </w:tcBorders>
            <w:vAlign w:val="center"/>
          </w:tcPr>
          <w:p w:rsidR="008D2112" w:rsidRPr="001836CB" w:rsidRDefault="008D2112" w:rsidP="000B76E8">
            <w:pPr>
              <w:adjustRightInd w:val="0"/>
              <w:snapToGrid w:val="0"/>
              <w:spacing w:line="360" w:lineRule="auto"/>
              <w:jc w:val="center"/>
              <w:rPr>
                <w:rFonts w:ascii="仿宋_GB2312" w:hAnsi="仿宋"/>
                <w:b/>
                <w:bCs/>
                <w:sz w:val="24"/>
              </w:rPr>
            </w:pPr>
            <w:r w:rsidRPr="001836CB">
              <w:rPr>
                <w:rFonts w:ascii="仿宋_GB2312" w:hAnsi="仿宋" w:hint="eastAsia"/>
                <w:b/>
                <w:bCs/>
                <w:sz w:val="24"/>
              </w:rPr>
              <w:t>基本指标</w:t>
            </w: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center"/>
              <w:rPr>
                <w:rFonts w:ascii="仿宋_GB2312" w:hAnsi="仿宋"/>
                <w:b/>
                <w:bCs/>
                <w:sz w:val="24"/>
              </w:rPr>
            </w:pPr>
            <w:r w:rsidRPr="001836CB">
              <w:rPr>
                <w:rFonts w:ascii="仿宋_GB2312" w:hAnsi="仿宋" w:hint="eastAsia"/>
                <w:b/>
                <w:bCs/>
                <w:sz w:val="24"/>
              </w:rPr>
              <w:t>具体指标</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jc w:val="center"/>
              <w:rPr>
                <w:rFonts w:ascii="仿宋_GB2312" w:hAnsi="仿宋"/>
                <w:b/>
                <w:bCs/>
                <w:sz w:val="24"/>
              </w:rPr>
            </w:pPr>
            <w:r w:rsidRPr="001836CB">
              <w:rPr>
                <w:rFonts w:ascii="仿宋_GB2312" w:hAnsi="仿宋" w:hint="eastAsia"/>
                <w:b/>
                <w:bCs/>
                <w:sz w:val="24"/>
              </w:rPr>
              <w:t>指标分值</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jc w:val="center"/>
              <w:rPr>
                <w:rFonts w:ascii="仿宋_GB2312" w:hAnsi="仿宋"/>
                <w:b/>
                <w:bCs/>
                <w:sz w:val="24"/>
              </w:rPr>
            </w:pPr>
            <w:r w:rsidRPr="001836CB">
              <w:rPr>
                <w:rFonts w:ascii="仿宋_GB2312" w:hAnsi="仿宋" w:hint="eastAsia"/>
                <w:b/>
                <w:bCs/>
                <w:sz w:val="24"/>
              </w:rPr>
              <w:t>评价得分</w:t>
            </w:r>
          </w:p>
        </w:tc>
      </w:tr>
      <w:tr w:rsidR="008D2112" w:rsidTr="000B76E8">
        <w:trPr>
          <w:cantSplit/>
          <w:trHeight w:val="601"/>
        </w:trPr>
        <w:tc>
          <w:tcPr>
            <w:tcW w:w="1448" w:type="pct"/>
            <w:vMerge w:val="restart"/>
            <w:vAlign w:val="center"/>
          </w:tcPr>
          <w:p w:rsidR="008D2112" w:rsidRPr="001836CB" w:rsidRDefault="008D2112" w:rsidP="000B76E8">
            <w:pPr>
              <w:adjustRightInd w:val="0"/>
              <w:snapToGrid w:val="0"/>
              <w:spacing w:line="360" w:lineRule="auto"/>
              <w:ind w:firstLineChars="200" w:firstLine="480"/>
              <w:jc w:val="center"/>
              <w:rPr>
                <w:rFonts w:ascii="仿宋_GB2312" w:hAnsi="仿宋"/>
                <w:sz w:val="24"/>
              </w:rPr>
            </w:pPr>
          </w:p>
          <w:p w:rsidR="008D2112" w:rsidRPr="001836CB" w:rsidRDefault="008D2112" w:rsidP="000B76E8">
            <w:pPr>
              <w:adjustRightInd w:val="0"/>
              <w:snapToGrid w:val="0"/>
              <w:spacing w:line="360" w:lineRule="auto"/>
              <w:jc w:val="center"/>
              <w:rPr>
                <w:rFonts w:ascii="仿宋_GB2312" w:hAnsi="仿宋"/>
                <w:sz w:val="24"/>
              </w:rPr>
            </w:pPr>
            <w:r w:rsidRPr="001836CB">
              <w:rPr>
                <w:rFonts w:ascii="仿宋_GB2312" w:hAnsi="仿宋" w:hint="eastAsia"/>
                <w:sz w:val="24"/>
              </w:rPr>
              <w:t>1.项目立项</w:t>
            </w: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rPr>
                <w:rFonts w:ascii="仿宋_GB2312" w:hAnsi="仿宋"/>
                <w:sz w:val="24"/>
              </w:rPr>
            </w:pPr>
            <w:r w:rsidRPr="001836CB">
              <w:rPr>
                <w:rFonts w:ascii="仿宋_GB2312" w:hAnsi="仿宋" w:hint="eastAsia"/>
                <w:sz w:val="24"/>
              </w:rPr>
              <w:t>1.1立项依据充分性</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1.00</w:t>
            </w:r>
          </w:p>
        </w:tc>
      </w:tr>
      <w:tr w:rsidR="008D2112" w:rsidTr="000B76E8">
        <w:trPr>
          <w:cantSplit/>
          <w:trHeight w:val="601"/>
        </w:trPr>
        <w:tc>
          <w:tcPr>
            <w:tcW w:w="1448" w:type="pct"/>
            <w:vMerge/>
            <w:vAlign w:val="center"/>
          </w:tcPr>
          <w:p w:rsidR="008D2112" w:rsidRPr="001836CB" w:rsidRDefault="008D2112" w:rsidP="000B76E8">
            <w:pPr>
              <w:adjustRightInd w:val="0"/>
              <w:snapToGrid w:val="0"/>
              <w:spacing w:line="360" w:lineRule="auto"/>
              <w:ind w:firstLineChars="200" w:firstLine="480"/>
              <w:jc w:val="center"/>
              <w:rPr>
                <w:rFonts w:ascii="仿宋_GB2312" w:hAnsi="仿宋"/>
                <w:sz w:val="24"/>
              </w:rPr>
            </w:pP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1.2立项程序合规性</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0.85</w:t>
            </w:r>
          </w:p>
        </w:tc>
      </w:tr>
      <w:tr w:rsidR="008D2112" w:rsidTr="000B76E8">
        <w:trPr>
          <w:cantSplit/>
          <w:trHeight w:val="601"/>
        </w:trPr>
        <w:tc>
          <w:tcPr>
            <w:tcW w:w="1448" w:type="pct"/>
            <w:vMerge/>
            <w:vAlign w:val="center"/>
          </w:tcPr>
          <w:p w:rsidR="008D2112" w:rsidRPr="001836CB" w:rsidRDefault="008D2112" w:rsidP="000B76E8">
            <w:pPr>
              <w:adjustRightInd w:val="0"/>
              <w:snapToGrid w:val="0"/>
              <w:spacing w:line="360" w:lineRule="auto"/>
              <w:ind w:firstLineChars="200" w:firstLine="480"/>
              <w:jc w:val="center"/>
              <w:rPr>
                <w:rFonts w:ascii="仿宋_GB2312" w:hAnsi="仿宋"/>
                <w:sz w:val="24"/>
              </w:rPr>
            </w:pP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1.3目标设立合理性</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0.73</w:t>
            </w:r>
          </w:p>
        </w:tc>
      </w:tr>
      <w:tr w:rsidR="008D2112" w:rsidTr="000B76E8">
        <w:trPr>
          <w:cantSplit/>
          <w:trHeight w:val="601"/>
        </w:trPr>
        <w:tc>
          <w:tcPr>
            <w:tcW w:w="1448" w:type="pct"/>
            <w:vMerge/>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center"/>
              <w:rPr>
                <w:rFonts w:ascii="仿宋_GB2312" w:hAnsi="仿宋"/>
                <w:sz w:val="24"/>
              </w:rPr>
            </w:pP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1.4目标设立明确性</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1.00</w:t>
            </w:r>
          </w:p>
        </w:tc>
      </w:tr>
      <w:tr w:rsidR="008D2112" w:rsidTr="000B76E8">
        <w:trPr>
          <w:cantSplit/>
          <w:trHeight w:val="274"/>
        </w:trPr>
        <w:tc>
          <w:tcPr>
            <w:tcW w:w="1448" w:type="pct"/>
            <w:vMerge w:val="restart"/>
            <w:tcBorders>
              <w:top w:val="single" w:sz="4" w:space="0" w:color="auto"/>
            </w:tcBorders>
            <w:vAlign w:val="center"/>
          </w:tcPr>
          <w:p w:rsidR="008D2112" w:rsidRPr="001836CB" w:rsidRDefault="008D2112" w:rsidP="000B76E8">
            <w:pPr>
              <w:adjustRightInd w:val="0"/>
              <w:snapToGrid w:val="0"/>
              <w:spacing w:line="360" w:lineRule="auto"/>
              <w:jc w:val="center"/>
              <w:rPr>
                <w:rFonts w:ascii="仿宋_GB2312" w:hAnsi="仿宋"/>
                <w:sz w:val="24"/>
              </w:rPr>
            </w:pPr>
            <w:r w:rsidRPr="001836CB">
              <w:rPr>
                <w:rFonts w:ascii="仿宋_GB2312" w:hAnsi="仿宋" w:hint="eastAsia"/>
                <w:sz w:val="24"/>
              </w:rPr>
              <w:t>2. 组织实施</w:t>
            </w: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2.1业务制度健全性</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3.00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3.00</w:t>
            </w:r>
          </w:p>
        </w:tc>
      </w:tr>
      <w:tr w:rsidR="008D2112" w:rsidTr="000B76E8">
        <w:trPr>
          <w:cantSplit/>
          <w:trHeight w:val="601"/>
        </w:trPr>
        <w:tc>
          <w:tcPr>
            <w:tcW w:w="1448" w:type="pct"/>
            <w:vMerge/>
            <w:vAlign w:val="center"/>
          </w:tcPr>
          <w:p w:rsidR="008D2112" w:rsidRPr="001836CB" w:rsidRDefault="008D2112" w:rsidP="000B76E8">
            <w:pPr>
              <w:adjustRightInd w:val="0"/>
              <w:snapToGrid w:val="0"/>
              <w:spacing w:line="360" w:lineRule="auto"/>
              <w:ind w:firstLineChars="200" w:firstLine="480"/>
              <w:jc w:val="center"/>
              <w:rPr>
                <w:rFonts w:ascii="仿宋_GB2312" w:hAnsi="仿宋"/>
                <w:sz w:val="24"/>
              </w:rPr>
            </w:pP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2.2执行有效性</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3.00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2.83</w:t>
            </w:r>
          </w:p>
        </w:tc>
      </w:tr>
      <w:tr w:rsidR="008D2112" w:rsidTr="000B76E8">
        <w:trPr>
          <w:cantSplit/>
          <w:trHeight w:val="601"/>
        </w:trPr>
        <w:tc>
          <w:tcPr>
            <w:tcW w:w="1448" w:type="pct"/>
            <w:vMerge w:val="restart"/>
            <w:vAlign w:val="center"/>
          </w:tcPr>
          <w:p w:rsidR="008D2112" w:rsidRPr="001836CB" w:rsidRDefault="008D2112" w:rsidP="000B76E8">
            <w:pPr>
              <w:adjustRightInd w:val="0"/>
              <w:snapToGrid w:val="0"/>
              <w:spacing w:line="360" w:lineRule="auto"/>
              <w:jc w:val="center"/>
              <w:rPr>
                <w:rFonts w:ascii="仿宋_GB2312" w:hAnsi="仿宋"/>
                <w:sz w:val="24"/>
              </w:rPr>
            </w:pPr>
            <w:r w:rsidRPr="001836CB">
              <w:rPr>
                <w:rFonts w:ascii="仿宋_GB2312" w:hAnsi="仿宋" w:hint="eastAsia"/>
                <w:sz w:val="24"/>
              </w:rPr>
              <w:t>3.产出完成</w:t>
            </w: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3.1数量完成率</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6.00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6.00</w:t>
            </w:r>
          </w:p>
        </w:tc>
      </w:tr>
      <w:tr w:rsidR="008D2112" w:rsidTr="000B76E8">
        <w:trPr>
          <w:cantSplit/>
          <w:trHeight w:val="601"/>
        </w:trPr>
        <w:tc>
          <w:tcPr>
            <w:tcW w:w="1448" w:type="pct"/>
            <w:vMerge/>
            <w:vAlign w:val="center"/>
          </w:tcPr>
          <w:p w:rsidR="008D2112" w:rsidRPr="001836CB" w:rsidRDefault="008D2112" w:rsidP="000B76E8">
            <w:pPr>
              <w:adjustRightInd w:val="0"/>
              <w:snapToGrid w:val="0"/>
              <w:spacing w:line="360" w:lineRule="auto"/>
              <w:ind w:firstLineChars="200" w:firstLine="480"/>
              <w:jc w:val="center"/>
              <w:rPr>
                <w:rFonts w:ascii="仿宋_GB2312" w:hAnsi="仿宋"/>
                <w:sz w:val="24"/>
              </w:rPr>
            </w:pP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3.2质量达标率</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8.00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7.20</w:t>
            </w:r>
          </w:p>
        </w:tc>
      </w:tr>
      <w:tr w:rsidR="008D2112" w:rsidTr="000B76E8">
        <w:trPr>
          <w:cantSplit/>
          <w:trHeight w:val="601"/>
        </w:trPr>
        <w:tc>
          <w:tcPr>
            <w:tcW w:w="1448" w:type="pct"/>
            <w:vMerge/>
            <w:vAlign w:val="center"/>
          </w:tcPr>
          <w:p w:rsidR="008D2112" w:rsidRPr="001836CB" w:rsidRDefault="008D2112" w:rsidP="000B76E8">
            <w:pPr>
              <w:adjustRightInd w:val="0"/>
              <w:snapToGrid w:val="0"/>
              <w:spacing w:line="360" w:lineRule="auto"/>
              <w:ind w:firstLineChars="200" w:firstLine="480"/>
              <w:jc w:val="center"/>
              <w:rPr>
                <w:rFonts w:ascii="仿宋_GB2312" w:hAnsi="仿宋"/>
                <w:sz w:val="24"/>
              </w:rPr>
            </w:pP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3.3完成及时率</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6.00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4.20</w:t>
            </w:r>
          </w:p>
        </w:tc>
      </w:tr>
      <w:tr w:rsidR="008D2112" w:rsidTr="000B76E8">
        <w:trPr>
          <w:cantSplit/>
          <w:trHeight w:val="601"/>
        </w:trPr>
        <w:tc>
          <w:tcPr>
            <w:tcW w:w="1448" w:type="pct"/>
            <w:vMerge w:val="restart"/>
            <w:vAlign w:val="center"/>
          </w:tcPr>
          <w:p w:rsidR="008D2112" w:rsidRPr="001836CB" w:rsidRDefault="008D2112" w:rsidP="000B76E8">
            <w:pPr>
              <w:adjustRightInd w:val="0"/>
              <w:snapToGrid w:val="0"/>
              <w:spacing w:line="360" w:lineRule="auto"/>
              <w:jc w:val="center"/>
              <w:rPr>
                <w:rFonts w:ascii="仿宋_GB2312" w:hAnsi="仿宋"/>
                <w:sz w:val="24"/>
              </w:rPr>
            </w:pPr>
            <w:r w:rsidRPr="001836CB">
              <w:rPr>
                <w:rFonts w:ascii="仿宋_GB2312" w:hAnsi="仿宋" w:hint="eastAsia"/>
                <w:sz w:val="24"/>
              </w:rPr>
              <w:t>4.项目效益</w:t>
            </w: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4.1社会效益</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15.00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15.00</w:t>
            </w:r>
          </w:p>
        </w:tc>
      </w:tr>
      <w:tr w:rsidR="008D2112" w:rsidTr="000B76E8">
        <w:trPr>
          <w:cantSplit/>
          <w:trHeight w:val="572"/>
        </w:trPr>
        <w:tc>
          <w:tcPr>
            <w:tcW w:w="1448" w:type="pct"/>
            <w:vMerge/>
            <w:vAlign w:val="center"/>
          </w:tcPr>
          <w:p w:rsidR="008D2112" w:rsidRPr="001836CB" w:rsidRDefault="008D2112" w:rsidP="000B76E8">
            <w:pPr>
              <w:adjustRightInd w:val="0"/>
              <w:snapToGrid w:val="0"/>
              <w:spacing w:line="360" w:lineRule="auto"/>
              <w:ind w:firstLineChars="200" w:firstLine="480"/>
              <w:jc w:val="center"/>
              <w:rPr>
                <w:rFonts w:ascii="仿宋_GB2312" w:hAnsi="仿宋"/>
                <w:sz w:val="24"/>
              </w:rPr>
            </w:pP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4.2生态效益</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10.00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9.56</w:t>
            </w:r>
          </w:p>
        </w:tc>
      </w:tr>
      <w:tr w:rsidR="008D2112" w:rsidTr="000B76E8">
        <w:trPr>
          <w:cantSplit/>
          <w:trHeight w:val="572"/>
        </w:trPr>
        <w:tc>
          <w:tcPr>
            <w:tcW w:w="1448" w:type="pct"/>
            <w:vMerge/>
            <w:vAlign w:val="center"/>
          </w:tcPr>
          <w:p w:rsidR="008D2112" w:rsidRPr="001836CB" w:rsidRDefault="008D2112" w:rsidP="000B76E8">
            <w:pPr>
              <w:adjustRightInd w:val="0"/>
              <w:snapToGrid w:val="0"/>
              <w:spacing w:line="360" w:lineRule="auto"/>
              <w:ind w:firstLineChars="200" w:firstLine="480"/>
              <w:jc w:val="center"/>
              <w:rPr>
                <w:rFonts w:ascii="仿宋_GB2312" w:hAnsi="仿宋"/>
                <w:sz w:val="24"/>
              </w:rPr>
            </w:pP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4.3可持续发展</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15.00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15.00</w:t>
            </w:r>
          </w:p>
        </w:tc>
      </w:tr>
      <w:tr w:rsidR="008D2112" w:rsidTr="000B76E8">
        <w:trPr>
          <w:cantSplit/>
          <w:trHeight w:val="572"/>
        </w:trPr>
        <w:tc>
          <w:tcPr>
            <w:tcW w:w="1448" w:type="pct"/>
            <w:vAlign w:val="center"/>
          </w:tcPr>
          <w:p w:rsidR="008D2112" w:rsidRPr="001836CB" w:rsidRDefault="008D2112" w:rsidP="000B76E8">
            <w:pPr>
              <w:adjustRightInd w:val="0"/>
              <w:snapToGrid w:val="0"/>
              <w:spacing w:line="360" w:lineRule="auto"/>
              <w:jc w:val="center"/>
              <w:rPr>
                <w:rFonts w:ascii="仿宋_GB2312" w:hAnsi="仿宋"/>
                <w:b/>
                <w:bCs/>
                <w:sz w:val="24"/>
              </w:rPr>
            </w:pPr>
            <w:r w:rsidRPr="001836CB">
              <w:rPr>
                <w:rFonts w:ascii="仿宋_GB2312" w:hAnsi="仿宋" w:hint="eastAsia"/>
                <w:b/>
                <w:bCs/>
                <w:sz w:val="24"/>
              </w:rPr>
              <w:t>业务指标得分小计</w:t>
            </w:r>
          </w:p>
        </w:tc>
        <w:tc>
          <w:tcPr>
            <w:tcW w:w="2327" w:type="pct"/>
            <w:gridSpan w:val="2"/>
            <w:tcBorders>
              <w:bottom w:val="single" w:sz="4" w:space="0" w:color="auto"/>
            </w:tcBorders>
            <w:vAlign w:val="center"/>
          </w:tcPr>
          <w:p w:rsidR="008D2112" w:rsidRPr="001836CB" w:rsidRDefault="008D2112" w:rsidP="000B76E8">
            <w:pPr>
              <w:adjustRightInd w:val="0"/>
              <w:snapToGrid w:val="0"/>
              <w:spacing w:line="360" w:lineRule="auto"/>
              <w:jc w:val="center"/>
              <w:rPr>
                <w:rFonts w:ascii="仿宋_GB2312" w:hAnsi="仿宋"/>
                <w:b/>
                <w:bCs/>
                <w:sz w:val="24"/>
              </w:rPr>
            </w:pPr>
            <w:r w:rsidRPr="001836CB">
              <w:rPr>
                <w:rFonts w:ascii="仿宋_GB2312" w:hAnsi="仿宋" w:hint="eastAsia"/>
                <w:b/>
                <w:bCs/>
                <w:sz w:val="24"/>
              </w:rPr>
              <w:t>业务指标分值70分</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jc w:val="right"/>
              <w:rPr>
                <w:rFonts w:ascii="仿宋_GB2312" w:hAnsi="仿宋"/>
                <w:b/>
                <w:bCs/>
                <w:sz w:val="24"/>
              </w:rPr>
            </w:pPr>
            <w:r w:rsidRPr="001836CB">
              <w:rPr>
                <w:rFonts w:ascii="仿宋_GB2312" w:hAnsi="仿宋" w:hint="eastAsia"/>
                <w:b/>
                <w:bCs/>
                <w:sz w:val="24"/>
              </w:rPr>
              <w:t>66.37</w:t>
            </w:r>
          </w:p>
        </w:tc>
      </w:tr>
      <w:tr w:rsidR="008D2112" w:rsidTr="000B76E8">
        <w:trPr>
          <w:cantSplit/>
          <w:trHeight w:val="601"/>
        </w:trPr>
        <w:tc>
          <w:tcPr>
            <w:tcW w:w="1448" w:type="pct"/>
            <w:vMerge w:val="restart"/>
            <w:vAlign w:val="center"/>
          </w:tcPr>
          <w:p w:rsidR="008D2112" w:rsidRPr="001836CB" w:rsidRDefault="008D2112" w:rsidP="000B76E8">
            <w:pPr>
              <w:adjustRightInd w:val="0"/>
              <w:snapToGrid w:val="0"/>
              <w:spacing w:line="360" w:lineRule="auto"/>
              <w:jc w:val="center"/>
              <w:rPr>
                <w:rFonts w:ascii="仿宋_GB2312" w:hAnsi="仿宋"/>
                <w:sz w:val="24"/>
              </w:rPr>
            </w:pPr>
            <w:r w:rsidRPr="001836CB">
              <w:rPr>
                <w:rFonts w:ascii="仿宋_GB2312" w:hAnsi="仿宋" w:hint="eastAsia"/>
                <w:sz w:val="24"/>
              </w:rPr>
              <w:t>5.财务管理</w:t>
            </w:r>
          </w:p>
          <w:p w:rsidR="008D2112" w:rsidRPr="001836CB" w:rsidRDefault="008D2112" w:rsidP="000B76E8">
            <w:pPr>
              <w:adjustRightInd w:val="0"/>
              <w:snapToGrid w:val="0"/>
              <w:spacing w:line="360" w:lineRule="auto"/>
              <w:ind w:firstLineChars="200" w:firstLine="480"/>
              <w:jc w:val="center"/>
              <w:rPr>
                <w:rFonts w:ascii="仿宋_GB2312" w:hAnsi="仿宋"/>
                <w:sz w:val="24"/>
              </w:rPr>
            </w:pP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5.1财务制度健全性</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1.00</w:t>
            </w:r>
          </w:p>
        </w:tc>
      </w:tr>
      <w:tr w:rsidR="008D2112" w:rsidTr="000B76E8">
        <w:trPr>
          <w:cantSplit/>
          <w:trHeight w:val="601"/>
        </w:trPr>
        <w:tc>
          <w:tcPr>
            <w:tcW w:w="1448" w:type="pct"/>
            <w:vMerge/>
            <w:vAlign w:val="center"/>
          </w:tcPr>
          <w:p w:rsidR="008D2112" w:rsidRPr="001836CB" w:rsidRDefault="008D2112" w:rsidP="000B76E8">
            <w:pPr>
              <w:adjustRightInd w:val="0"/>
              <w:snapToGrid w:val="0"/>
              <w:spacing w:line="360" w:lineRule="auto"/>
              <w:ind w:firstLineChars="200" w:firstLine="480"/>
              <w:jc w:val="center"/>
              <w:rPr>
                <w:rFonts w:ascii="仿宋_GB2312" w:hAnsi="仿宋"/>
                <w:sz w:val="24"/>
              </w:rPr>
            </w:pP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5.2财务管理有效性</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1.00</w:t>
            </w:r>
          </w:p>
        </w:tc>
      </w:tr>
      <w:tr w:rsidR="008D2112" w:rsidTr="000B76E8">
        <w:trPr>
          <w:cantSplit/>
          <w:trHeight w:val="601"/>
        </w:trPr>
        <w:tc>
          <w:tcPr>
            <w:tcW w:w="1448" w:type="pct"/>
            <w:vMerge/>
            <w:vAlign w:val="center"/>
          </w:tcPr>
          <w:p w:rsidR="008D2112" w:rsidRPr="001836CB" w:rsidRDefault="008D2112" w:rsidP="000B76E8">
            <w:pPr>
              <w:adjustRightInd w:val="0"/>
              <w:snapToGrid w:val="0"/>
              <w:spacing w:line="360" w:lineRule="auto"/>
              <w:ind w:firstLineChars="200" w:firstLine="480"/>
              <w:jc w:val="center"/>
              <w:rPr>
                <w:rFonts w:ascii="仿宋_GB2312" w:hAnsi="仿宋"/>
                <w:sz w:val="24"/>
              </w:rPr>
            </w:pP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5.3资金分配合理性</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3.00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2.08</w:t>
            </w:r>
          </w:p>
        </w:tc>
      </w:tr>
      <w:tr w:rsidR="008D2112" w:rsidTr="000B76E8">
        <w:trPr>
          <w:cantSplit/>
          <w:trHeight w:val="601"/>
        </w:trPr>
        <w:tc>
          <w:tcPr>
            <w:tcW w:w="1448" w:type="pct"/>
            <w:vMerge/>
            <w:vAlign w:val="center"/>
          </w:tcPr>
          <w:p w:rsidR="008D2112" w:rsidRPr="001836CB" w:rsidRDefault="008D2112" w:rsidP="000B76E8">
            <w:pPr>
              <w:adjustRightInd w:val="0"/>
              <w:snapToGrid w:val="0"/>
              <w:spacing w:line="360" w:lineRule="auto"/>
              <w:ind w:firstLineChars="200" w:firstLine="480"/>
              <w:jc w:val="center"/>
              <w:rPr>
                <w:rFonts w:ascii="仿宋_GB2312" w:hAnsi="仿宋"/>
                <w:sz w:val="24"/>
              </w:rPr>
            </w:pP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5.4资金到位及时性</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1.00</w:t>
            </w:r>
          </w:p>
        </w:tc>
      </w:tr>
      <w:tr w:rsidR="008D2112" w:rsidTr="000B76E8">
        <w:trPr>
          <w:cantSplit/>
          <w:trHeight w:val="601"/>
        </w:trPr>
        <w:tc>
          <w:tcPr>
            <w:tcW w:w="1448" w:type="pct"/>
            <w:vMerge/>
            <w:vAlign w:val="center"/>
          </w:tcPr>
          <w:p w:rsidR="008D2112" w:rsidRPr="001836CB" w:rsidRDefault="008D2112" w:rsidP="000B76E8">
            <w:pPr>
              <w:adjustRightInd w:val="0"/>
              <w:snapToGrid w:val="0"/>
              <w:spacing w:line="360" w:lineRule="auto"/>
              <w:ind w:firstLineChars="200" w:firstLine="480"/>
              <w:jc w:val="center"/>
              <w:rPr>
                <w:rFonts w:ascii="仿宋_GB2312" w:hAnsi="仿宋"/>
                <w:sz w:val="24"/>
              </w:rPr>
            </w:pP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5.5预算执行率</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2.00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1.88</w:t>
            </w:r>
          </w:p>
        </w:tc>
      </w:tr>
      <w:tr w:rsidR="008D2112" w:rsidTr="000B76E8">
        <w:trPr>
          <w:cantSplit/>
          <w:trHeight w:val="601"/>
        </w:trPr>
        <w:tc>
          <w:tcPr>
            <w:tcW w:w="1448" w:type="pct"/>
            <w:vMerge/>
            <w:vAlign w:val="center"/>
          </w:tcPr>
          <w:p w:rsidR="008D2112" w:rsidRPr="001836CB" w:rsidRDefault="008D2112" w:rsidP="000B76E8">
            <w:pPr>
              <w:adjustRightInd w:val="0"/>
              <w:snapToGrid w:val="0"/>
              <w:spacing w:line="360" w:lineRule="auto"/>
              <w:ind w:firstLineChars="200" w:firstLine="480"/>
              <w:jc w:val="center"/>
              <w:rPr>
                <w:rFonts w:ascii="仿宋_GB2312" w:hAnsi="仿宋"/>
                <w:sz w:val="24"/>
              </w:rPr>
            </w:pP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5.6资金使用合规性</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12.00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10.75</w:t>
            </w:r>
          </w:p>
        </w:tc>
      </w:tr>
      <w:tr w:rsidR="008D2112" w:rsidTr="000B76E8">
        <w:trPr>
          <w:cantSplit/>
          <w:trHeight w:val="601"/>
        </w:trPr>
        <w:tc>
          <w:tcPr>
            <w:tcW w:w="1448" w:type="pct"/>
            <w:vAlign w:val="center"/>
          </w:tcPr>
          <w:p w:rsidR="008D2112" w:rsidRPr="001836CB" w:rsidRDefault="008D2112" w:rsidP="000B76E8">
            <w:pPr>
              <w:adjustRightInd w:val="0"/>
              <w:snapToGrid w:val="0"/>
              <w:spacing w:line="360" w:lineRule="auto"/>
              <w:jc w:val="center"/>
              <w:rPr>
                <w:rFonts w:ascii="仿宋_GB2312" w:hAnsi="仿宋"/>
                <w:sz w:val="24"/>
              </w:rPr>
            </w:pPr>
            <w:bookmarkStart w:id="16" w:name="_Hlk87898295"/>
            <w:r w:rsidRPr="001836CB">
              <w:rPr>
                <w:rFonts w:ascii="仿宋_GB2312" w:hAnsi="仿宋" w:hint="eastAsia"/>
                <w:b/>
                <w:bCs/>
                <w:sz w:val="24"/>
              </w:rPr>
              <w:lastRenderedPageBreak/>
              <w:t>财务指标得分小计</w:t>
            </w:r>
          </w:p>
        </w:tc>
        <w:tc>
          <w:tcPr>
            <w:tcW w:w="2327" w:type="pct"/>
            <w:gridSpan w:val="2"/>
            <w:tcBorders>
              <w:bottom w:val="single" w:sz="4" w:space="0" w:color="auto"/>
            </w:tcBorders>
            <w:vAlign w:val="center"/>
          </w:tcPr>
          <w:p w:rsidR="008D2112" w:rsidRPr="001836CB" w:rsidRDefault="008D2112" w:rsidP="000B76E8">
            <w:pPr>
              <w:adjustRightInd w:val="0"/>
              <w:snapToGrid w:val="0"/>
              <w:spacing w:line="360" w:lineRule="auto"/>
              <w:jc w:val="center"/>
              <w:rPr>
                <w:rFonts w:ascii="仿宋_GB2312" w:hAnsi="仿宋"/>
                <w:sz w:val="24"/>
              </w:rPr>
            </w:pPr>
            <w:r w:rsidRPr="001836CB">
              <w:rPr>
                <w:rFonts w:ascii="仿宋_GB2312" w:hAnsi="仿宋" w:hint="eastAsia"/>
                <w:b/>
                <w:bCs/>
                <w:sz w:val="24"/>
              </w:rPr>
              <w:t>财务指标分值20分</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2"/>
              <w:jc w:val="right"/>
              <w:rPr>
                <w:rFonts w:ascii="仿宋_GB2312" w:hAnsi="仿宋"/>
                <w:sz w:val="24"/>
              </w:rPr>
            </w:pPr>
            <w:r w:rsidRPr="001836CB">
              <w:rPr>
                <w:rFonts w:ascii="仿宋_GB2312" w:hAnsi="仿宋" w:hint="eastAsia"/>
                <w:b/>
                <w:bCs/>
                <w:sz w:val="24"/>
              </w:rPr>
              <w:t>17.71</w:t>
            </w:r>
          </w:p>
        </w:tc>
      </w:tr>
      <w:bookmarkEnd w:id="16"/>
      <w:tr w:rsidR="008D2112" w:rsidTr="000B76E8">
        <w:trPr>
          <w:cantSplit/>
          <w:trHeight w:val="601"/>
        </w:trPr>
        <w:tc>
          <w:tcPr>
            <w:tcW w:w="1448" w:type="pct"/>
            <w:vAlign w:val="center"/>
          </w:tcPr>
          <w:p w:rsidR="008D2112" w:rsidRPr="001836CB" w:rsidRDefault="008D2112" w:rsidP="000B76E8">
            <w:pPr>
              <w:adjustRightInd w:val="0"/>
              <w:snapToGrid w:val="0"/>
              <w:spacing w:line="360" w:lineRule="auto"/>
              <w:jc w:val="center"/>
              <w:rPr>
                <w:rFonts w:ascii="仿宋_GB2312" w:hAnsi="仿宋"/>
                <w:sz w:val="24"/>
              </w:rPr>
            </w:pPr>
            <w:r w:rsidRPr="001836CB">
              <w:rPr>
                <w:rFonts w:ascii="仿宋_GB2312" w:hAnsi="仿宋" w:hint="eastAsia"/>
                <w:sz w:val="24"/>
              </w:rPr>
              <w:t>6. 满意度</w:t>
            </w:r>
          </w:p>
        </w:tc>
        <w:tc>
          <w:tcPr>
            <w:tcW w:w="1509" w:type="pct"/>
            <w:tcBorders>
              <w:bottom w:val="single" w:sz="4" w:space="0" w:color="auto"/>
            </w:tcBorders>
            <w:vAlign w:val="center"/>
          </w:tcPr>
          <w:p w:rsidR="008D2112" w:rsidRPr="001836CB" w:rsidRDefault="008D2112" w:rsidP="000B76E8">
            <w:pPr>
              <w:adjustRightInd w:val="0"/>
              <w:snapToGrid w:val="0"/>
              <w:spacing w:line="360" w:lineRule="auto"/>
              <w:jc w:val="left"/>
              <w:rPr>
                <w:rFonts w:ascii="仿宋_GB2312" w:hAnsi="仿宋"/>
                <w:sz w:val="24"/>
              </w:rPr>
            </w:pPr>
            <w:r w:rsidRPr="001836CB">
              <w:rPr>
                <w:rFonts w:ascii="仿宋_GB2312" w:hAnsi="仿宋" w:hint="eastAsia"/>
                <w:sz w:val="24"/>
              </w:rPr>
              <w:t>6.1社会公众满意度</w:t>
            </w:r>
          </w:p>
        </w:tc>
        <w:tc>
          <w:tcPr>
            <w:tcW w:w="817"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10.00</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0"/>
              <w:jc w:val="right"/>
              <w:rPr>
                <w:rFonts w:ascii="仿宋_GB2312" w:hAnsi="仿宋"/>
                <w:sz w:val="24"/>
              </w:rPr>
            </w:pPr>
            <w:r w:rsidRPr="001836CB">
              <w:rPr>
                <w:rFonts w:ascii="仿宋_GB2312" w:hAnsi="仿宋" w:hint="eastAsia"/>
                <w:sz w:val="24"/>
              </w:rPr>
              <w:t>9.12</w:t>
            </w:r>
          </w:p>
        </w:tc>
      </w:tr>
      <w:tr w:rsidR="008D2112" w:rsidTr="000B76E8">
        <w:trPr>
          <w:cantSplit/>
          <w:trHeight w:val="601"/>
        </w:trPr>
        <w:tc>
          <w:tcPr>
            <w:tcW w:w="1448" w:type="pct"/>
            <w:vAlign w:val="center"/>
          </w:tcPr>
          <w:p w:rsidR="008D2112" w:rsidRPr="001836CB" w:rsidRDefault="008D2112" w:rsidP="000B76E8">
            <w:pPr>
              <w:adjustRightInd w:val="0"/>
              <w:snapToGrid w:val="0"/>
              <w:spacing w:line="360" w:lineRule="auto"/>
              <w:jc w:val="center"/>
              <w:rPr>
                <w:rFonts w:ascii="仿宋_GB2312" w:hAnsi="仿宋"/>
                <w:sz w:val="24"/>
              </w:rPr>
            </w:pPr>
            <w:bookmarkStart w:id="17" w:name="_Hlk87898432"/>
            <w:r w:rsidRPr="001836CB">
              <w:rPr>
                <w:rFonts w:ascii="仿宋_GB2312" w:hAnsi="仿宋" w:hint="eastAsia"/>
                <w:b/>
                <w:bCs/>
                <w:sz w:val="24"/>
              </w:rPr>
              <w:t>满意度指标得分小计</w:t>
            </w:r>
          </w:p>
        </w:tc>
        <w:tc>
          <w:tcPr>
            <w:tcW w:w="2327" w:type="pct"/>
            <w:gridSpan w:val="2"/>
            <w:tcBorders>
              <w:bottom w:val="single" w:sz="4" w:space="0" w:color="auto"/>
            </w:tcBorders>
            <w:vAlign w:val="center"/>
          </w:tcPr>
          <w:p w:rsidR="008D2112" w:rsidRPr="001836CB" w:rsidRDefault="008D2112" w:rsidP="000B76E8">
            <w:pPr>
              <w:adjustRightInd w:val="0"/>
              <w:snapToGrid w:val="0"/>
              <w:spacing w:line="360" w:lineRule="auto"/>
              <w:jc w:val="center"/>
              <w:rPr>
                <w:rFonts w:ascii="仿宋_GB2312" w:hAnsi="仿宋"/>
                <w:sz w:val="24"/>
              </w:rPr>
            </w:pPr>
            <w:r w:rsidRPr="001836CB">
              <w:rPr>
                <w:rFonts w:ascii="仿宋_GB2312" w:hAnsi="仿宋" w:hint="eastAsia"/>
                <w:b/>
                <w:bCs/>
                <w:sz w:val="24"/>
              </w:rPr>
              <w:t>满意度指标分值10分</w:t>
            </w:r>
          </w:p>
        </w:tc>
        <w:tc>
          <w:tcPr>
            <w:tcW w:w="1224" w:type="pct"/>
            <w:tcBorders>
              <w:bottom w:val="single" w:sz="4" w:space="0" w:color="auto"/>
            </w:tcBorders>
            <w:vAlign w:val="center"/>
          </w:tcPr>
          <w:p w:rsidR="008D2112" w:rsidRPr="001836CB" w:rsidRDefault="008D2112" w:rsidP="000B76E8">
            <w:pPr>
              <w:adjustRightInd w:val="0"/>
              <w:snapToGrid w:val="0"/>
              <w:spacing w:line="360" w:lineRule="auto"/>
              <w:ind w:firstLineChars="200" w:firstLine="482"/>
              <w:jc w:val="right"/>
              <w:rPr>
                <w:rFonts w:ascii="仿宋_GB2312" w:hAnsi="仿宋"/>
                <w:sz w:val="24"/>
              </w:rPr>
            </w:pPr>
            <w:r w:rsidRPr="001836CB">
              <w:rPr>
                <w:rFonts w:ascii="仿宋_GB2312" w:hAnsi="仿宋" w:hint="eastAsia"/>
                <w:b/>
                <w:bCs/>
                <w:sz w:val="24"/>
              </w:rPr>
              <w:t>9.12</w:t>
            </w:r>
          </w:p>
        </w:tc>
      </w:tr>
      <w:tr w:rsidR="008D2112" w:rsidTr="000B76E8">
        <w:trPr>
          <w:cantSplit/>
          <w:trHeight w:val="601"/>
        </w:trPr>
        <w:tc>
          <w:tcPr>
            <w:tcW w:w="1448" w:type="pct"/>
            <w:vAlign w:val="center"/>
          </w:tcPr>
          <w:p w:rsidR="008D2112" w:rsidRPr="001836CB" w:rsidRDefault="008D2112" w:rsidP="000B76E8">
            <w:pPr>
              <w:adjustRightInd w:val="0"/>
              <w:snapToGrid w:val="0"/>
              <w:spacing w:line="360" w:lineRule="auto"/>
              <w:jc w:val="center"/>
              <w:rPr>
                <w:rFonts w:ascii="仿宋_GB2312" w:hAnsi="仿宋"/>
                <w:sz w:val="24"/>
              </w:rPr>
            </w:pPr>
            <w:r w:rsidRPr="001836CB">
              <w:rPr>
                <w:rFonts w:ascii="仿宋_GB2312" w:hAnsi="仿宋" w:hint="eastAsia"/>
                <w:b/>
                <w:bCs/>
                <w:sz w:val="24"/>
              </w:rPr>
              <w:t>综合得分</w:t>
            </w:r>
          </w:p>
        </w:tc>
        <w:tc>
          <w:tcPr>
            <w:tcW w:w="2327" w:type="pct"/>
            <w:gridSpan w:val="2"/>
            <w:vAlign w:val="center"/>
          </w:tcPr>
          <w:p w:rsidR="008D2112" w:rsidRPr="001836CB" w:rsidRDefault="008D2112" w:rsidP="000B76E8">
            <w:pPr>
              <w:adjustRightInd w:val="0"/>
              <w:snapToGrid w:val="0"/>
              <w:spacing w:line="360" w:lineRule="auto"/>
              <w:jc w:val="center"/>
              <w:rPr>
                <w:rFonts w:ascii="仿宋_GB2312" w:hAnsi="仿宋"/>
                <w:sz w:val="24"/>
              </w:rPr>
            </w:pPr>
            <w:r w:rsidRPr="001836CB">
              <w:rPr>
                <w:rFonts w:ascii="仿宋_GB2312" w:hAnsi="仿宋" w:hint="eastAsia"/>
                <w:b/>
                <w:bCs/>
                <w:sz w:val="24"/>
              </w:rPr>
              <w:t>综合得分100=业务指标得分70+财务指标得分20+满意度指标得分10</w:t>
            </w:r>
          </w:p>
        </w:tc>
        <w:tc>
          <w:tcPr>
            <w:tcW w:w="1224" w:type="pct"/>
            <w:vAlign w:val="center"/>
          </w:tcPr>
          <w:p w:rsidR="008D2112" w:rsidRPr="001836CB" w:rsidRDefault="008D2112" w:rsidP="000B76E8">
            <w:pPr>
              <w:adjustRightInd w:val="0"/>
              <w:snapToGrid w:val="0"/>
              <w:spacing w:line="360" w:lineRule="auto"/>
              <w:ind w:firstLineChars="200" w:firstLine="482"/>
              <w:jc w:val="right"/>
              <w:rPr>
                <w:rFonts w:ascii="仿宋_GB2312" w:hAnsi="仿宋"/>
                <w:sz w:val="24"/>
              </w:rPr>
            </w:pPr>
            <w:r w:rsidRPr="001836CB">
              <w:rPr>
                <w:rFonts w:ascii="仿宋_GB2312" w:hAnsi="仿宋" w:hint="eastAsia"/>
                <w:b/>
                <w:bCs/>
                <w:sz w:val="24"/>
              </w:rPr>
              <w:t>93.20</w:t>
            </w:r>
          </w:p>
        </w:tc>
      </w:tr>
      <w:tr w:rsidR="008D2112" w:rsidTr="000B76E8">
        <w:trPr>
          <w:cantSplit/>
          <w:trHeight w:val="601"/>
        </w:trPr>
        <w:tc>
          <w:tcPr>
            <w:tcW w:w="1448" w:type="pct"/>
            <w:vAlign w:val="center"/>
          </w:tcPr>
          <w:p w:rsidR="008D2112" w:rsidRPr="001836CB" w:rsidRDefault="008D2112" w:rsidP="000B76E8">
            <w:pPr>
              <w:jc w:val="center"/>
              <w:rPr>
                <w:rFonts w:ascii="仿宋_GB2312" w:hAnsi="仿宋"/>
                <w:b/>
                <w:bCs/>
                <w:sz w:val="24"/>
              </w:rPr>
            </w:pPr>
            <w:r w:rsidRPr="001836CB">
              <w:rPr>
                <w:rFonts w:ascii="仿宋_GB2312" w:hAnsi="仿宋" w:hint="eastAsia"/>
                <w:b/>
                <w:bCs/>
                <w:sz w:val="24"/>
              </w:rPr>
              <w:t>评价等次</w:t>
            </w:r>
          </w:p>
        </w:tc>
        <w:tc>
          <w:tcPr>
            <w:tcW w:w="2327" w:type="pct"/>
            <w:gridSpan w:val="2"/>
            <w:tcBorders>
              <w:bottom w:val="single" w:sz="4" w:space="0" w:color="auto"/>
            </w:tcBorders>
            <w:vAlign w:val="center"/>
          </w:tcPr>
          <w:p w:rsidR="008D2112" w:rsidRPr="001836CB" w:rsidRDefault="008D2112" w:rsidP="000B76E8">
            <w:pPr>
              <w:spacing w:line="320" w:lineRule="exact"/>
              <w:jc w:val="center"/>
              <w:rPr>
                <w:rFonts w:ascii="仿宋_GB2312" w:hAnsi="仿宋"/>
                <w:b/>
                <w:bCs/>
                <w:sz w:val="24"/>
              </w:rPr>
            </w:pPr>
            <w:r w:rsidRPr="001836CB">
              <w:rPr>
                <w:rFonts w:ascii="仿宋_GB2312" w:hAnsi="仿宋" w:hint="eastAsia"/>
                <w:b/>
                <w:bCs/>
                <w:sz w:val="24"/>
              </w:rPr>
              <w:t>优：90（含）-100  良：80（含）-90</w:t>
            </w:r>
          </w:p>
          <w:p w:rsidR="008D2112" w:rsidRPr="001836CB" w:rsidRDefault="008D2112" w:rsidP="000B76E8">
            <w:pPr>
              <w:spacing w:line="320" w:lineRule="exact"/>
              <w:rPr>
                <w:rFonts w:ascii="仿宋_GB2312" w:hAnsi="仿宋"/>
                <w:sz w:val="24"/>
              </w:rPr>
            </w:pPr>
            <w:r w:rsidRPr="001836CB">
              <w:rPr>
                <w:rFonts w:ascii="仿宋_GB2312" w:hAnsi="仿宋" w:hint="eastAsia"/>
                <w:b/>
                <w:bCs/>
                <w:sz w:val="24"/>
              </w:rPr>
              <w:t>中：60（含）-80    差：60以下</w:t>
            </w:r>
          </w:p>
        </w:tc>
        <w:tc>
          <w:tcPr>
            <w:tcW w:w="1224" w:type="pct"/>
            <w:tcBorders>
              <w:bottom w:val="single" w:sz="4" w:space="0" w:color="auto"/>
            </w:tcBorders>
            <w:vAlign w:val="center"/>
          </w:tcPr>
          <w:p w:rsidR="008D2112" w:rsidRPr="001836CB" w:rsidRDefault="008D2112" w:rsidP="000B76E8">
            <w:pPr>
              <w:jc w:val="center"/>
              <w:rPr>
                <w:rFonts w:ascii="仿宋_GB2312" w:hAnsi="仿宋"/>
                <w:b/>
                <w:sz w:val="24"/>
              </w:rPr>
            </w:pPr>
            <w:r w:rsidRPr="001836CB">
              <w:rPr>
                <w:rFonts w:ascii="仿宋_GB2312" w:hAnsi="仿宋" w:hint="eastAsia"/>
                <w:b/>
                <w:sz w:val="24"/>
              </w:rPr>
              <w:t>优</w:t>
            </w:r>
          </w:p>
        </w:tc>
      </w:tr>
      <w:bookmarkEnd w:id="17"/>
    </w:tbl>
    <w:p w:rsidR="001836CB" w:rsidRDefault="001836CB" w:rsidP="001836CB">
      <w:pPr>
        <w:adjustRightInd w:val="0"/>
        <w:snapToGrid w:val="0"/>
        <w:spacing w:line="360" w:lineRule="auto"/>
        <w:ind w:firstLineChars="100" w:firstLine="280"/>
        <w:rPr>
          <w:rFonts w:ascii="仿宋" w:eastAsia="仿宋" w:hAnsi="仿宋" w:cs="宋体"/>
          <w:sz w:val="28"/>
          <w:szCs w:val="28"/>
        </w:rPr>
      </w:pPr>
    </w:p>
    <w:p w:rsidR="001836CB" w:rsidRDefault="001836CB" w:rsidP="001836CB">
      <w:pPr>
        <w:adjustRightInd w:val="0"/>
        <w:snapToGrid w:val="0"/>
        <w:spacing w:line="360" w:lineRule="auto"/>
        <w:ind w:firstLineChars="100" w:firstLine="321"/>
        <w:rPr>
          <w:rFonts w:ascii="仿宋_GB2312" w:hAnsi="仿宋_GB2312" w:cs="仿宋_GB2312"/>
          <w:b/>
          <w:bCs/>
          <w:szCs w:val="32"/>
        </w:rPr>
      </w:pPr>
      <w:r w:rsidRPr="00946597">
        <w:rPr>
          <w:rFonts w:ascii="仿宋_GB2312" w:hAnsi="仿宋_GB2312" w:cs="仿宋_GB2312" w:hint="eastAsia"/>
          <w:b/>
          <w:bCs/>
          <w:szCs w:val="32"/>
        </w:rPr>
        <w:t>（四）综合评价情况及评价结论</w:t>
      </w:r>
    </w:p>
    <w:p w:rsidR="001836CB" w:rsidRPr="001836CB" w:rsidRDefault="008D2112" w:rsidP="001836CB">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此次绩效评价指标分为3个部分，分别为业务指标、财务指标、满意度指标。总分值100分，业务指标70分，财务指标20分，满意度指标10分。</w:t>
      </w:r>
      <w:bookmarkStart w:id="18" w:name="_Toc88914777"/>
    </w:p>
    <w:p w:rsidR="008D2112" w:rsidRPr="001836CB" w:rsidRDefault="001836CB" w:rsidP="001836CB">
      <w:pPr>
        <w:adjustRightInd w:val="0"/>
        <w:snapToGrid w:val="0"/>
        <w:spacing w:line="360" w:lineRule="auto"/>
        <w:ind w:firstLineChars="200" w:firstLine="562"/>
        <w:rPr>
          <w:rFonts w:ascii="仿宋_GB2312" w:hAnsi="仿宋_GB2312" w:cs="仿宋_GB2312"/>
          <w:b/>
          <w:bCs/>
          <w:sz w:val="28"/>
          <w:szCs w:val="28"/>
        </w:rPr>
      </w:pPr>
      <w:r w:rsidRPr="001836CB">
        <w:rPr>
          <w:rFonts w:ascii="仿宋_GB2312" w:hAnsi="仿宋_GB2312" w:cs="仿宋_GB2312" w:hint="eastAsia"/>
          <w:b/>
          <w:bCs/>
          <w:sz w:val="28"/>
          <w:szCs w:val="28"/>
        </w:rPr>
        <w:t>1.</w:t>
      </w:r>
      <w:r w:rsidR="008D2112" w:rsidRPr="001836CB">
        <w:rPr>
          <w:rFonts w:ascii="仿宋_GB2312" w:hAnsi="仿宋_GB2312" w:cs="仿宋_GB2312" w:hint="eastAsia"/>
          <w:b/>
          <w:bCs/>
          <w:sz w:val="28"/>
          <w:szCs w:val="28"/>
        </w:rPr>
        <w:t>业务指标情况</w:t>
      </w:r>
      <w:bookmarkEnd w:id="18"/>
    </w:p>
    <w:p w:rsidR="001836CB" w:rsidRPr="001836CB" w:rsidRDefault="008D2112" w:rsidP="001836CB">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 xml:space="preserve">业务指标从项目立项、组织实施、产出完成、项目效益四个角度进行评价。业务指标总分值70分，实际得分66.37分。      </w:t>
      </w:r>
      <w:bookmarkStart w:id="19" w:name="_Toc88914778"/>
    </w:p>
    <w:p w:rsidR="008D2112" w:rsidRPr="001836CB" w:rsidRDefault="008D2112" w:rsidP="001836CB">
      <w:pPr>
        <w:adjustRightInd w:val="0"/>
        <w:snapToGrid w:val="0"/>
        <w:spacing w:line="360" w:lineRule="auto"/>
        <w:ind w:firstLineChars="200" w:firstLine="562"/>
        <w:rPr>
          <w:rFonts w:ascii="仿宋_GB2312" w:hAnsi="仿宋_GB2312" w:cs="仿宋_GB2312"/>
          <w:b/>
          <w:bCs/>
          <w:sz w:val="28"/>
          <w:szCs w:val="28"/>
        </w:rPr>
      </w:pPr>
      <w:r w:rsidRPr="001836CB">
        <w:rPr>
          <w:rFonts w:ascii="仿宋_GB2312" w:hAnsi="仿宋_GB2312" w:cs="仿宋_GB2312" w:hint="eastAsia"/>
          <w:b/>
          <w:bCs/>
          <w:sz w:val="28"/>
          <w:szCs w:val="28"/>
        </w:rPr>
        <w:t>1.1项目立项</w:t>
      </w:r>
      <w:bookmarkEnd w:id="19"/>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项目立项包括立项依据充分性、立项程序合规性、目标设立合理性、目标设立明确性四个方面。项目立项指标总分4分，实际得分3.58分。</w:t>
      </w:r>
    </w:p>
    <w:p w:rsidR="008D2112" w:rsidRPr="001836CB" w:rsidRDefault="008D2112" w:rsidP="008D2112">
      <w:pPr>
        <w:adjustRightInd w:val="0"/>
        <w:snapToGrid w:val="0"/>
        <w:spacing w:line="360" w:lineRule="auto"/>
        <w:ind w:leftChars="229" w:left="733" w:firstLineChars="49" w:firstLine="138"/>
        <w:rPr>
          <w:rFonts w:ascii="仿宋_GB2312" w:hAnsi="仿宋" w:cs="宋体"/>
          <w:b/>
          <w:sz w:val="28"/>
          <w:szCs w:val="28"/>
        </w:rPr>
      </w:pPr>
      <w:r w:rsidRPr="001836CB">
        <w:rPr>
          <w:rFonts w:ascii="仿宋_GB2312" w:hAnsi="仿宋" w:cs="宋体" w:hint="eastAsia"/>
          <w:b/>
          <w:sz w:val="28"/>
          <w:szCs w:val="28"/>
        </w:rPr>
        <w:t>立项依据充分性：指标分值1分，实际得分1分。</w:t>
      </w:r>
    </w:p>
    <w:p w:rsidR="008D2112" w:rsidRPr="001836CB" w:rsidRDefault="008D2112" w:rsidP="008D2112">
      <w:pPr>
        <w:adjustRightInd w:val="0"/>
        <w:snapToGrid w:val="0"/>
        <w:spacing w:line="360" w:lineRule="auto"/>
        <w:rPr>
          <w:rFonts w:ascii="仿宋_GB2312" w:hAnsi="仿宋" w:cs="宋体"/>
          <w:sz w:val="28"/>
          <w:szCs w:val="28"/>
        </w:rPr>
      </w:pPr>
      <w:r w:rsidRPr="001836CB">
        <w:rPr>
          <w:rFonts w:ascii="仿宋_GB2312" w:hAnsi="仿宋" w:cs="宋体" w:hint="eastAsia"/>
          <w:sz w:val="28"/>
          <w:szCs w:val="28"/>
        </w:rPr>
        <w:t xml:space="preserve">    东站管委会由区政府授权负责枢纽区域的交通协调管理、应急保障和商务功能开发等工作，依据杭州市人民政府办公厅印发《杭州东站枢纽地区综合管理暂行办法》对东站枢纽地区进行管理，确立2020年五优车站精细化管理维护费具体项目，从环境卫生、旅客安全、基础设施、意外事件安全角度设立消杀项目、公众责任险、违规车辆停</w:t>
      </w:r>
      <w:r w:rsidRPr="001836CB">
        <w:rPr>
          <w:rFonts w:ascii="仿宋_GB2312" w:hAnsi="仿宋" w:cs="宋体" w:hint="eastAsia"/>
          <w:sz w:val="28"/>
          <w:szCs w:val="28"/>
        </w:rPr>
        <w:lastRenderedPageBreak/>
        <w:t>车四个项目。符合国家法律法规和相关政策立项依据充分。根据评分标准，立项依据充分性指标分值1分，实际得分1分。</w:t>
      </w:r>
    </w:p>
    <w:p w:rsidR="008D2112" w:rsidRPr="001836CB" w:rsidRDefault="008D2112" w:rsidP="008D2112">
      <w:pPr>
        <w:adjustRightInd w:val="0"/>
        <w:snapToGrid w:val="0"/>
        <w:spacing w:line="360" w:lineRule="auto"/>
        <w:ind w:firstLineChars="200" w:firstLine="562"/>
        <w:rPr>
          <w:rFonts w:ascii="仿宋_GB2312" w:hAnsi="仿宋" w:cs="宋体"/>
          <w:b/>
          <w:sz w:val="28"/>
          <w:szCs w:val="28"/>
        </w:rPr>
      </w:pPr>
      <w:r w:rsidRPr="001836CB">
        <w:rPr>
          <w:rFonts w:ascii="仿宋_GB2312" w:hAnsi="仿宋" w:cs="宋体" w:hint="eastAsia"/>
          <w:b/>
          <w:sz w:val="28"/>
          <w:szCs w:val="28"/>
        </w:rPr>
        <w:t>立项程序合规性：指标分值1分，实际得分0.85分。</w:t>
      </w:r>
    </w:p>
    <w:p w:rsidR="008D2112" w:rsidRPr="001836CB" w:rsidRDefault="008D2112" w:rsidP="008D2112">
      <w:pPr>
        <w:pStyle w:val="a8"/>
        <w:spacing w:line="360" w:lineRule="auto"/>
        <w:ind w:firstLineChars="0"/>
        <w:rPr>
          <w:rFonts w:ascii="仿宋_GB2312" w:eastAsia="仿宋_GB2312" w:hAnsi="仿宋" w:cs="宋体"/>
          <w:sz w:val="28"/>
          <w:szCs w:val="28"/>
        </w:rPr>
      </w:pPr>
      <w:r w:rsidRPr="001836CB">
        <w:rPr>
          <w:rFonts w:ascii="仿宋_GB2312" w:eastAsia="仿宋_GB2312" w:hAnsi="仿宋" w:cs="宋体" w:hint="eastAsia"/>
          <w:sz w:val="28"/>
          <w:szCs w:val="28"/>
        </w:rPr>
        <w:t>东站管委会建项前根据辖区内管理需要、关注关系旅客切身利益、平衡兼顾相关方诉求，做可行性研究分析；根据《杭州东站枢纽管委会关于规范“三重一大”重要事项集体决策机制建设的若干规定》，在项目支付时进行三重一大集体决策。通过政府采购平台实施招投标选取优质供应商，从源头上考量供应商服务履行质量，承担风险的水平以及内部管理。</w:t>
      </w:r>
    </w:p>
    <w:p w:rsidR="008D2112" w:rsidRPr="001836CB" w:rsidRDefault="008D2112" w:rsidP="008D2112">
      <w:pPr>
        <w:pStyle w:val="a8"/>
        <w:spacing w:line="360" w:lineRule="auto"/>
        <w:ind w:firstLineChars="0"/>
        <w:rPr>
          <w:rFonts w:ascii="仿宋_GB2312" w:eastAsia="仿宋_GB2312" w:hAnsi="仿宋" w:cs="宋体"/>
          <w:sz w:val="28"/>
          <w:szCs w:val="28"/>
        </w:rPr>
      </w:pPr>
      <w:r w:rsidRPr="001836CB">
        <w:rPr>
          <w:rFonts w:ascii="仿宋_GB2312" w:eastAsia="仿宋_GB2312" w:hAnsi="仿宋" w:cs="宋体" w:hint="eastAsia"/>
          <w:sz w:val="28"/>
          <w:szCs w:val="28"/>
        </w:rPr>
        <w:t>消杀项目根据《杭州市江干区人民政府关于进一步加强新时期爱国卫生工作的意见》的通知，东站管委会依法组织辖区经常性开展环境整治、病媒生物孳生地清理和杀灭病媒生物等活动，但仅对第二季度经费开展“三重一大”审批集体决策；立项程序合规性指标分值1分，实际得分0.77分。</w:t>
      </w:r>
    </w:p>
    <w:p w:rsidR="008D2112" w:rsidRPr="001836CB" w:rsidRDefault="008D2112" w:rsidP="008D2112">
      <w:pPr>
        <w:pStyle w:val="a8"/>
        <w:spacing w:line="360" w:lineRule="auto"/>
        <w:ind w:firstLineChars="0"/>
        <w:rPr>
          <w:rFonts w:ascii="仿宋_GB2312" w:eastAsia="仿宋_GB2312" w:hAnsi="仿宋" w:cs="宋体"/>
          <w:sz w:val="28"/>
          <w:szCs w:val="28"/>
        </w:rPr>
      </w:pPr>
      <w:r w:rsidRPr="001836CB">
        <w:rPr>
          <w:rFonts w:ascii="仿宋_GB2312" w:eastAsia="仿宋_GB2312" w:hAnsi="仿宋" w:cs="宋体" w:hint="eastAsia"/>
          <w:sz w:val="28"/>
          <w:szCs w:val="28"/>
        </w:rPr>
        <w:t>东站管委会汲取以往经验，为建设安全、便捷的杭州东站， 2018年集体分析决策后购买公众责任险以便更好地把控管理风险，降低管理成本。通过招投标挑选资质、企业理赔实力等相对更优秀的单位作为长期合作方，并将此作为常规项目。立项程序合规性指标分值1分，实际得分1分。</w:t>
      </w:r>
    </w:p>
    <w:p w:rsidR="008D2112" w:rsidRPr="001836CB" w:rsidRDefault="008D2112" w:rsidP="008D2112">
      <w:pPr>
        <w:pStyle w:val="a8"/>
        <w:spacing w:line="360" w:lineRule="auto"/>
        <w:ind w:firstLineChars="0"/>
        <w:rPr>
          <w:rFonts w:ascii="仿宋_GB2312" w:eastAsia="仿宋_GB2312" w:hAnsi="仿宋" w:cs="宋体"/>
          <w:sz w:val="28"/>
          <w:szCs w:val="28"/>
        </w:rPr>
      </w:pPr>
      <w:r w:rsidRPr="001836CB">
        <w:rPr>
          <w:rFonts w:ascii="仿宋_GB2312" w:eastAsia="仿宋_GB2312" w:hAnsi="仿宋" w:cs="宋体" w:hint="eastAsia"/>
          <w:sz w:val="28"/>
          <w:szCs w:val="28"/>
        </w:rPr>
        <w:t>市政设施维修费系关系到旅客和工作人员安全的基础设施项目，管委会及时组织集体讨论和可行性分析，通过政府采购平台招投标选取优质监理、施工方。立项程序合规性指标分值1分，实际得分1分。</w:t>
      </w:r>
    </w:p>
    <w:p w:rsidR="008D2112" w:rsidRPr="001836CB" w:rsidRDefault="008D2112" w:rsidP="008D2112">
      <w:pPr>
        <w:pStyle w:val="a8"/>
        <w:spacing w:line="360" w:lineRule="auto"/>
        <w:ind w:firstLineChars="0"/>
        <w:rPr>
          <w:rFonts w:ascii="仿宋_GB2312" w:eastAsia="仿宋_GB2312" w:hAnsi="仿宋" w:cs="宋体"/>
          <w:sz w:val="28"/>
          <w:szCs w:val="28"/>
        </w:rPr>
      </w:pPr>
      <w:r w:rsidRPr="001836CB">
        <w:rPr>
          <w:rFonts w:ascii="仿宋_GB2312" w:eastAsia="仿宋_GB2312" w:hAnsi="仿宋" w:cs="宋体" w:hint="eastAsia"/>
          <w:sz w:val="28"/>
          <w:szCs w:val="28"/>
        </w:rPr>
        <w:lastRenderedPageBreak/>
        <w:t>停车费项目旨在解决交警执法人员对暂扣车辆存放保管不便的问题，2020年制定了采购违法暂扣车辆停车服务的汇报材料，通过招投标形式，考虑实际情况听取执法人员建议，选择最优租赁区域。但仅对12月资金支付开展三重一大集体决策。根据评分标准，立项程序合规性指标分值1分，实际得分0.72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根据评分标准和预算资金权重比例核算，立项程序合规性指标分值1分，实际得分0.85分。</w:t>
      </w:r>
    </w:p>
    <w:p w:rsidR="008D2112" w:rsidRPr="001836CB" w:rsidRDefault="008D2112" w:rsidP="008D2112">
      <w:pPr>
        <w:adjustRightInd w:val="0"/>
        <w:snapToGrid w:val="0"/>
        <w:spacing w:line="360" w:lineRule="auto"/>
        <w:ind w:firstLineChars="200" w:firstLine="562"/>
        <w:rPr>
          <w:rFonts w:ascii="仿宋_GB2312" w:hAnsi="仿宋" w:cs="宋体"/>
          <w:b/>
          <w:sz w:val="28"/>
          <w:szCs w:val="28"/>
        </w:rPr>
      </w:pPr>
      <w:r w:rsidRPr="001836CB">
        <w:rPr>
          <w:rFonts w:ascii="仿宋_GB2312" w:hAnsi="仿宋" w:cs="宋体" w:hint="eastAsia"/>
          <w:b/>
          <w:sz w:val="28"/>
          <w:szCs w:val="28"/>
        </w:rPr>
        <w:t>目标设立合理性：指标分值1分，实际得分0.73分。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从项目是否有绩效目标、项目实施内容与绩效目标是否具有相关性、项目实际支出否与预算投资额或资金量相匹配三个维度衡量绩效目标合理性。</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消杀项目从工作人员、操作设备、使用药械、施工进度多领域多维度定期对第三方机构工作考核，目标设立科学合理；公众责任险项目从降低辖区内管理成本、管理风险，保障旅客和工作人员人身安全着手，选取最全面的公众责任险和最具有理赔实力的保险公司；</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市政设施维修项目充分考虑工程质量等级、设计标准、样板标准等，并按照行业惯例充分引进第三方监理、造价、审计等机构确保项目进度质量，目标设立科学合理。但未将招标代理费、审计费及监理费纳入预算编制，且在本期支付，导致总的市政维修提升项目超出预算资金，资金匹配度要点扣0.4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违停车辆停车项目中，约定暂扣违规车辆具有车位优先选择权、对第三方机构车辆持续安全管理，费用结算等做出详细说明。但提前申请12月份款项，资金匹配度要点扣0.4分。</w:t>
      </w:r>
    </w:p>
    <w:p w:rsidR="008D2112" w:rsidRPr="001836CB" w:rsidRDefault="008D2112" w:rsidP="008D2112">
      <w:pPr>
        <w:adjustRightInd w:val="0"/>
        <w:snapToGrid w:val="0"/>
        <w:spacing w:line="360" w:lineRule="auto"/>
        <w:ind w:firstLineChars="200" w:firstLine="562"/>
        <w:rPr>
          <w:rFonts w:ascii="仿宋_GB2312" w:hAnsi="仿宋" w:cs="宋体"/>
          <w:b/>
          <w:sz w:val="28"/>
          <w:szCs w:val="28"/>
        </w:rPr>
      </w:pPr>
      <w:r w:rsidRPr="001836CB">
        <w:rPr>
          <w:rFonts w:ascii="仿宋_GB2312" w:hAnsi="仿宋" w:cs="宋体" w:hint="eastAsia"/>
          <w:b/>
          <w:sz w:val="28"/>
          <w:szCs w:val="28"/>
        </w:rPr>
        <w:t>目标设立明确性：指标分值1分，实际得分1分。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目标设立明确性将是否将项目绩效目标细化分解为具体的绩效</w:t>
      </w:r>
      <w:r w:rsidRPr="001836CB">
        <w:rPr>
          <w:rFonts w:ascii="仿宋_GB2312" w:hAnsi="仿宋" w:cs="宋体" w:hint="eastAsia"/>
          <w:sz w:val="28"/>
          <w:szCs w:val="28"/>
        </w:rPr>
        <w:lastRenderedPageBreak/>
        <w:t>指标、项目实施内容与绩效目标是否具有相关性、是否与项目总体目标相对应作为衡量维度，尽量确保目标明确化可量化，避免目标建立流于形式。</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消杀项目明确规定了消杀工作需符合四害国家密度控制C级标准，对工作人员、操作设备、使用药械、施工进度都作出具体可衡量的指标；</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公共责任保险作为常规项目，在选择险种时已考虑所有可能发生的意外事件，并作为保险险种转移管理风险；</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停车费用项目充分考虑车位紧缺情况明确暂扣车辆具有车位优先选择权，将第三方合作公司是否对暂扣车辆做到事前事中和事后全过程管理作为考核内容，并明确各环节需提供的管理服务；</w:t>
      </w:r>
    </w:p>
    <w:p w:rsidR="001836CB" w:rsidRDefault="008D2112" w:rsidP="001836CB">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将设计标准、材料标准、质量标准细化、数据化，进而控制东站东西广场站体柱底处沉降维修工程项目的工程质量，引进监理、审计、造价等专业中介机构使责任归属可追溯可落实；</w:t>
      </w:r>
      <w:bookmarkStart w:id="20" w:name="_Toc88914779"/>
    </w:p>
    <w:p w:rsidR="008D2112" w:rsidRPr="001836CB" w:rsidRDefault="008D2112" w:rsidP="001836CB">
      <w:pPr>
        <w:adjustRightInd w:val="0"/>
        <w:snapToGrid w:val="0"/>
        <w:spacing w:line="360" w:lineRule="auto"/>
        <w:ind w:firstLineChars="200" w:firstLine="562"/>
        <w:rPr>
          <w:rFonts w:ascii="仿宋_GB2312" w:hAnsi="仿宋" w:cs="宋体"/>
          <w:b/>
          <w:sz w:val="28"/>
          <w:szCs w:val="28"/>
        </w:rPr>
      </w:pPr>
      <w:r w:rsidRPr="001836CB">
        <w:rPr>
          <w:rFonts w:ascii="仿宋_GB2312" w:hAnsi="仿宋" w:hint="eastAsia"/>
          <w:b/>
          <w:sz w:val="28"/>
          <w:szCs w:val="28"/>
        </w:rPr>
        <w:t>1.2组织实施</w:t>
      </w:r>
      <w:bookmarkEnd w:id="20"/>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组织实施包括业务制度健全性和执行有效性两个方面。总分值为6分，实际得分5.83分。</w:t>
      </w:r>
    </w:p>
    <w:p w:rsidR="008D2112" w:rsidRPr="001836CB" w:rsidRDefault="008D2112" w:rsidP="008D2112">
      <w:pPr>
        <w:adjustRightInd w:val="0"/>
        <w:snapToGrid w:val="0"/>
        <w:spacing w:line="360" w:lineRule="auto"/>
        <w:ind w:firstLineChars="200" w:firstLine="562"/>
        <w:rPr>
          <w:rFonts w:ascii="仿宋_GB2312" w:hAnsi="仿宋" w:cs="宋体"/>
          <w:b/>
          <w:sz w:val="28"/>
          <w:szCs w:val="28"/>
        </w:rPr>
      </w:pPr>
      <w:r w:rsidRPr="001836CB">
        <w:rPr>
          <w:rFonts w:ascii="仿宋_GB2312" w:hAnsi="仿宋" w:cs="宋体" w:hint="eastAsia"/>
          <w:b/>
          <w:sz w:val="28"/>
          <w:szCs w:val="28"/>
        </w:rPr>
        <w:t>业务制度健全性:指标分值3分，实际得分3分。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依据《小额公共资源交易管理工作制度》、《杭州东站枢纽管理委员会政府投资类工程项目管理制度》、《杭州东站枢纽管理委员会政府采购内控管理制度》作为五优车站精细化管理维护费项目指导方针。深入贯彻《江干区政府投资工程项目内控管理六项制度》（江住建〔2020〕25号）文件精神，东站枢纽管委会成立政府投资项目审核小组,负责工程类项目变更审核工作。消杀项目、公众责任险、违停车辆停车费和市政设施维修提升项目业务管理制度和组织机制健全、</w:t>
      </w:r>
      <w:r w:rsidRPr="001836CB">
        <w:rPr>
          <w:rFonts w:ascii="仿宋_GB2312" w:hAnsi="仿宋" w:cs="宋体" w:hint="eastAsia"/>
          <w:sz w:val="28"/>
          <w:szCs w:val="28"/>
        </w:rPr>
        <w:lastRenderedPageBreak/>
        <w:t>合法、合规、完整。</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根据评分标准和预算资金权重比例核算，业务制度健全性指标分值3分，实际得分3分。</w:t>
      </w:r>
    </w:p>
    <w:p w:rsidR="008D2112" w:rsidRPr="001836CB" w:rsidRDefault="008D2112" w:rsidP="008D2112">
      <w:pPr>
        <w:adjustRightInd w:val="0"/>
        <w:snapToGrid w:val="0"/>
        <w:spacing w:line="360" w:lineRule="auto"/>
        <w:ind w:firstLineChars="200" w:firstLine="562"/>
        <w:rPr>
          <w:rFonts w:ascii="仿宋_GB2312" w:hAnsi="仿宋" w:cs="宋体"/>
          <w:b/>
          <w:sz w:val="28"/>
          <w:szCs w:val="28"/>
        </w:rPr>
      </w:pPr>
      <w:r w:rsidRPr="001836CB">
        <w:rPr>
          <w:rFonts w:ascii="仿宋_GB2312" w:hAnsi="仿宋" w:cs="宋体" w:hint="eastAsia"/>
          <w:b/>
          <w:sz w:val="28"/>
          <w:szCs w:val="28"/>
        </w:rPr>
        <w:t>执行有效性</w:t>
      </w:r>
      <w:r w:rsidRPr="001836CB">
        <w:rPr>
          <w:rFonts w:ascii="仿宋_GB2312" w:hAnsi="仿宋" w:cs="宋体" w:hint="eastAsia"/>
          <w:sz w:val="28"/>
          <w:szCs w:val="28"/>
        </w:rPr>
        <w:t>:</w:t>
      </w:r>
      <w:r w:rsidRPr="001836CB">
        <w:rPr>
          <w:rFonts w:ascii="仿宋_GB2312" w:hAnsi="仿宋" w:cs="宋体" w:hint="eastAsia"/>
          <w:b/>
          <w:sz w:val="28"/>
          <w:szCs w:val="28"/>
        </w:rPr>
        <w:t>指标分值3分，实际得分2.83分。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项目执行有效性从是否遵守相关法律法规和相关管理制度的规定、项目实施的人员条件、场地设备、信息支撑等是否落实到位、项目资料是否齐全并及时归档三个方面考核。</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消杀项目按规定通过招标的方式评标出中标单位，对消杀区域、消杀工作人员资质、消杀设备、施工计划与进度、服务范围和效果、应急服务、资料台账和群众满意度等方面按季度考核第三方消杀公司业绩并归档；</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东站管委会根据招投标方式，最终确定中国人民财产保险有限公司为公众责任险供应商。每期发生意外及时与保险公司沟通，根据保险范围、出险原因、投保合同等及时跟进事件进度和赔付金额；但是服务理赔后的相关资料归档不全，需事后问保险公司拉理赔清单，扣1分。根据评分标准，执行有效性指标分值3分，实际得分2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东站管委会根据相关制度通过招标的方式确定中标单位，与滨和环境建设集团有限公司签订施工合同，与浙江东亿工程管理有限公司签订建设工程委托监理合同。施工合同、监理合同皆有针对材料质量、规划标准、责任归属、项目进度等作具体清晰的衡量指标并按合同规定执行。根据项目进度及时对立项、施工、验收等环节的资料如招投标资料、立项文件、合同、造价咨询报告、审价报告、验收单等归档。根据评分标准，执行有效性指标分值3分，实际得分3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东站管委会根据与杭州泽大物业管理有限公司、杭州腾嘉汽车租赁有限公司签订合同，承租区域存放暂扣违规车辆，并负责车辆保管</w:t>
      </w:r>
      <w:r w:rsidRPr="001836CB">
        <w:rPr>
          <w:rFonts w:ascii="仿宋_GB2312" w:hAnsi="仿宋" w:cs="宋体" w:hint="eastAsia"/>
          <w:sz w:val="28"/>
          <w:szCs w:val="28"/>
        </w:rPr>
        <w:lastRenderedPageBreak/>
        <w:t>工作。每月汇总停车场扣押车辆进出登记表，记录车牌号、车型、扣押日期、暂扣原因、房车日期、放车单号、联系方式，每月向交警支队申请扣押车辆超15日的情况说明，业务按规定执行；铁路交警和上城（原江干）交警扣押车辆登记表、发票、付款凭证等文件归档齐全。根据评分标准，执行有效性指标分值3分，实际得分3分。</w:t>
      </w:r>
    </w:p>
    <w:p w:rsidR="001836CB" w:rsidRDefault="008D2112" w:rsidP="001836CB">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根据评分标准和预算资金权重比例核算，执行有效性指标分值3分，实际得分2.83分。</w:t>
      </w:r>
      <w:bookmarkStart w:id="21" w:name="_Toc88914780"/>
    </w:p>
    <w:p w:rsidR="008D2112" w:rsidRPr="001836CB" w:rsidRDefault="008D2112" w:rsidP="001836CB">
      <w:pPr>
        <w:adjustRightInd w:val="0"/>
        <w:snapToGrid w:val="0"/>
        <w:spacing w:line="360" w:lineRule="auto"/>
        <w:ind w:firstLineChars="200" w:firstLine="562"/>
        <w:rPr>
          <w:rFonts w:ascii="仿宋_GB2312" w:hAnsi="仿宋" w:cs="宋体"/>
          <w:b/>
          <w:sz w:val="28"/>
          <w:szCs w:val="28"/>
        </w:rPr>
      </w:pPr>
      <w:r w:rsidRPr="001836CB">
        <w:rPr>
          <w:rFonts w:ascii="仿宋_GB2312" w:hAnsi="仿宋" w:hint="eastAsia"/>
          <w:b/>
          <w:sz w:val="28"/>
          <w:szCs w:val="28"/>
        </w:rPr>
        <w:t>1.3产出完成</w:t>
      </w:r>
      <w:bookmarkEnd w:id="21"/>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产出完成指标包括数量、质量达标率、完成及时性等三个方面。总分值为20分，实际得分17.4分。</w:t>
      </w:r>
    </w:p>
    <w:p w:rsidR="008D2112" w:rsidRPr="001836CB" w:rsidRDefault="008D2112" w:rsidP="008D2112">
      <w:pPr>
        <w:adjustRightInd w:val="0"/>
        <w:snapToGrid w:val="0"/>
        <w:spacing w:line="360" w:lineRule="auto"/>
        <w:ind w:firstLineChars="200" w:firstLine="562"/>
        <w:rPr>
          <w:rFonts w:ascii="仿宋_GB2312" w:hAnsi="仿宋" w:cs="宋体"/>
          <w:b/>
          <w:sz w:val="28"/>
          <w:szCs w:val="28"/>
        </w:rPr>
      </w:pPr>
      <w:r w:rsidRPr="001836CB">
        <w:rPr>
          <w:rFonts w:ascii="仿宋_GB2312" w:hAnsi="仿宋" w:cs="宋体" w:hint="eastAsia"/>
          <w:b/>
          <w:sz w:val="28"/>
          <w:szCs w:val="28"/>
        </w:rPr>
        <w:t>产出数量:指标分值6分，实际得分6分。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消杀项目计划完成11-4月份每月2次共计24次消杀作业，5-10月份每月4次共计48次消杀作业，实际与计划完成数量一致；杭州东站东西广场站体柱底处沉降维修工程的分项计划工程量与实际验收数量一致，计划18个施工分项实际验收数量18个；2020年每月提供暂扣车辆停放保管服务，并按时完成结算。</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公共责任保险出险属于概率事件，无需设立产出数量指标，故该指标不适用。</w:t>
      </w:r>
    </w:p>
    <w:p w:rsidR="008D2112" w:rsidRPr="001836CB" w:rsidRDefault="008D2112" w:rsidP="008D2112">
      <w:pPr>
        <w:adjustRightInd w:val="0"/>
        <w:snapToGrid w:val="0"/>
        <w:spacing w:line="360" w:lineRule="auto"/>
        <w:ind w:firstLineChars="200" w:firstLine="562"/>
        <w:rPr>
          <w:rFonts w:ascii="仿宋_GB2312" w:hAnsi="仿宋" w:cs="宋体"/>
          <w:b/>
          <w:sz w:val="28"/>
          <w:szCs w:val="28"/>
        </w:rPr>
      </w:pPr>
      <w:r w:rsidRPr="001836CB">
        <w:rPr>
          <w:rFonts w:ascii="仿宋_GB2312" w:hAnsi="仿宋" w:cs="宋体" w:hint="eastAsia"/>
          <w:b/>
          <w:sz w:val="28"/>
          <w:szCs w:val="28"/>
        </w:rPr>
        <w:t>质量达标率:指标分值8分，实际得分7.2分。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东站管委会对杭州安欣除虫服务有限公司设置消杀服务考核表，每季度消杀情况考核打分。根据全年爱国消杀统计，有25.06%的人次反映东站内部公共卫生间有虫子，尤其在第二季度情况尤为突出，质量达标率指标分值8分，实际得分6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杭州东站东西广场站体柱底处沉降维修工程竣工以后，竣工验收证书评价工程质量等级为：合格。根据评分标准，质量达标率指标分</w:t>
      </w:r>
      <w:r w:rsidRPr="001836CB">
        <w:rPr>
          <w:rFonts w:ascii="仿宋_GB2312" w:hAnsi="仿宋" w:cs="宋体" w:hint="eastAsia"/>
          <w:sz w:val="28"/>
          <w:szCs w:val="28"/>
        </w:rPr>
        <w:lastRenderedPageBreak/>
        <w:t>值8分，实际得分8分。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公共责任保险和停车费项目指标不适用该项目。</w:t>
      </w:r>
    </w:p>
    <w:p w:rsidR="008D2112" w:rsidRPr="001836CB" w:rsidRDefault="008D2112" w:rsidP="008D2112">
      <w:pPr>
        <w:adjustRightInd w:val="0"/>
        <w:snapToGrid w:val="0"/>
        <w:spacing w:line="360" w:lineRule="auto"/>
        <w:ind w:firstLineChars="200" w:firstLine="560"/>
        <w:rPr>
          <w:rFonts w:ascii="仿宋_GB2312"/>
          <w:sz w:val="28"/>
          <w:szCs w:val="28"/>
        </w:rPr>
      </w:pPr>
      <w:r w:rsidRPr="001836CB">
        <w:rPr>
          <w:rFonts w:ascii="仿宋_GB2312" w:hAnsi="仿宋" w:cs="宋体" w:hint="eastAsia"/>
          <w:sz w:val="28"/>
          <w:szCs w:val="28"/>
        </w:rPr>
        <w:t>根据评分标准和预算资金权重比例核算，质量达标率指标分值8分，实际得分7.2分。</w:t>
      </w:r>
    </w:p>
    <w:p w:rsidR="008D2112" w:rsidRPr="001836CB" w:rsidRDefault="008D2112" w:rsidP="008D2112">
      <w:pPr>
        <w:adjustRightInd w:val="0"/>
        <w:snapToGrid w:val="0"/>
        <w:spacing w:line="360" w:lineRule="auto"/>
        <w:ind w:firstLineChars="200" w:firstLine="562"/>
        <w:rPr>
          <w:rFonts w:ascii="仿宋_GB2312" w:hAnsi="仿宋" w:cs="宋体"/>
          <w:b/>
          <w:sz w:val="28"/>
          <w:szCs w:val="28"/>
        </w:rPr>
      </w:pPr>
      <w:r w:rsidRPr="001836CB">
        <w:rPr>
          <w:rFonts w:ascii="仿宋_GB2312" w:hAnsi="仿宋" w:cs="宋体" w:hint="eastAsia"/>
          <w:b/>
          <w:sz w:val="28"/>
          <w:szCs w:val="28"/>
        </w:rPr>
        <w:t>产出时效:指标分值6分，实际得分4.2分。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公共责任保险出险属于概率事件，无产出时效指标，本指标不适用；消杀项目每月定期足次数完成消杀工作，产出及时；2020年承租东宁路P东停车场，及时解决了交警执法人员需将暂扣违规车辆拖到九堡执行的问题。</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杭州东站东西广场站体柱底处沉降维修工程项目从2020年11月27日开始施工，计划竣工时间未2020年12月6日。实际竣工时间为12月8日，超期2天。根据评价要点此项分值为0分。根据评分标准，产出时效指标分值6分，实际得分0分。</w:t>
      </w:r>
    </w:p>
    <w:p w:rsidR="001836CB" w:rsidRDefault="008D2112" w:rsidP="001836CB">
      <w:pPr>
        <w:adjustRightInd w:val="0"/>
        <w:snapToGrid w:val="0"/>
        <w:spacing w:line="360" w:lineRule="auto"/>
        <w:ind w:firstLineChars="200" w:firstLine="560"/>
        <w:rPr>
          <w:rFonts w:ascii="仿宋_GB2312" w:hAnsi="仿宋" w:cs="宋体"/>
          <w:sz w:val="28"/>
          <w:szCs w:val="28"/>
        </w:rPr>
      </w:pPr>
      <w:bookmarkStart w:id="22" w:name="_Toc88914781"/>
      <w:r w:rsidRPr="001836CB">
        <w:rPr>
          <w:rFonts w:ascii="仿宋_GB2312" w:hAnsi="仿宋" w:cs="宋体" w:hint="eastAsia"/>
          <w:sz w:val="28"/>
          <w:szCs w:val="28"/>
        </w:rPr>
        <w:t>根据评分标准和预算资金权重比例核算，产出时效指标分值6分，实际得分4.2分。</w:t>
      </w:r>
    </w:p>
    <w:p w:rsidR="008D2112" w:rsidRPr="001836CB" w:rsidRDefault="008D2112" w:rsidP="001836CB">
      <w:pPr>
        <w:adjustRightInd w:val="0"/>
        <w:snapToGrid w:val="0"/>
        <w:spacing w:line="360" w:lineRule="auto"/>
        <w:ind w:firstLineChars="200" w:firstLine="562"/>
        <w:rPr>
          <w:rFonts w:ascii="仿宋_GB2312"/>
          <w:b/>
          <w:sz w:val="28"/>
          <w:szCs w:val="28"/>
        </w:rPr>
      </w:pPr>
      <w:r w:rsidRPr="001836CB">
        <w:rPr>
          <w:rFonts w:ascii="仿宋_GB2312" w:hAnsi="仿宋" w:hint="eastAsia"/>
          <w:b/>
          <w:sz w:val="28"/>
          <w:szCs w:val="28"/>
        </w:rPr>
        <w:t>1.4项目效益</w:t>
      </w:r>
      <w:bookmarkEnd w:id="22"/>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本项目效益从社会效益、生态效益、可持续发展影响三个方面评估，项目立项指标总分40分，社会效益15分，生态效益各10分，可持续发展影响15分，实际得分39.56分。</w:t>
      </w:r>
    </w:p>
    <w:p w:rsidR="008D2112" w:rsidRPr="001836CB" w:rsidRDefault="008D2112" w:rsidP="008D2112">
      <w:pPr>
        <w:adjustRightInd w:val="0"/>
        <w:snapToGrid w:val="0"/>
        <w:spacing w:line="360" w:lineRule="auto"/>
        <w:ind w:firstLineChars="200" w:firstLine="562"/>
        <w:rPr>
          <w:rFonts w:ascii="仿宋_GB2312" w:hAnsi="仿宋" w:cs="宋体"/>
          <w:b/>
          <w:sz w:val="28"/>
          <w:szCs w:val="28"/>
        </w:rPr>
      </w:pPr>
      <w:r w:rsidRPr="001836CB">
        <w:rPr>
          <w:rFonts w:ascii="仿宋_GB2312" w:hAnsi="仿宋" w:cs="宋体" w:hint="eastAsia"/>
          <w:b/>
          <w:sz w:val="28"/>
          <w:szCs w:val="28"/>
        </w:rPr>
        <w:t>社会效益:指标分值15分，实际得分15分。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2020年度每月按规定消杀次数，从人员、设备、药械、工作频率等方面严格把控，据统计消杀满意率达到90%以上，2020年无发生四害带来的疾病和疾病传播事件，保障了旅客身体健康；</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公众责任险保障2.58平方公里东站枢纽区域内的意外事件理赔，涉及及6个附保险，所涵险种齐全、覆盖区域广。体现了温馨服务最</w:t>
      </w:r>
      <w:r w:rsidRPr="001836CB">
        <w:rPr>
          <w:rFonts w:ascii="仿宋_GB2312" w:hAnsi="仿宋" w:cs="宋体" w:hint="eastAsia"/>
          <w:sz w:val="28"/>
          <w:szCs w:val="28"/>
        </w:rPr>
        <w:lastRenderedPageBreak/>
        <w:t>优、平安维稳最优的目标。</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维修破损市政设施，降低了旅客因建筑工程发生安全隐患的概率，提升东站枢纽整体形象，为来往旅客展现了东站“金名片”形象。实现了平安维稳最优，同心共建最优目标。</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租赁违规车辆暂停场地方便了东站枢纽区域内交警对违停车辆的管理工作，全年提供违停车辆停车场地和暂扣车辆管理服务，清除了路面交通障碍，改善了辖区内交通拥堵的局面。体现管理执法最优和平安维稳最优的目标。</w:t>
      </w:r>
    </w:p>
    <w:p w:rsidR="008D2112" w:rsidRPr="001836CB" w:rsidRDefault="008D2112" w:rsidP="008D2112">
      <w:pPr>
        <w:adjustRightInd w:val="0"/>
        <w:snapToGrid w:val="0"/>
        <w:spacing w:line="360" w:lineRule="auto"/>
        <w:ind w:firstLineChars="200" w:firstLine="562"/>
        <w:rPr>
          <w:rFonts w:ascii="仿宋_GB2312" w:hAnsi="仿宋" w:cs="宋体"/>
          <w:b/>
          <w:sz w:val="28"/>
          <w:szCs w:val="28"/>
        </w:rPr>
      </w:pPr>
      <w:r w:rsidRPr="001836CB">
        <w:rPr>
          <w:rFonts w:ascii="仿宋_GB2312" w:hAnsi="仿宋" w:cs="宋体" w:hint="eastAsia"/>
          <w:b/>
          <w:sz w:val="28"/>
          <w:szCs w:val="28"/>
        </w:rPr>
        <w:t>生态效益:指标分值10分，实际得分9.56分。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对包括辖区绿化带、下水道、东西广场和到达层4个地方和特殊时期拓展范围消杀，减少四害对旅客的滋扰。但是从</w:t>
      </w:r>
      <w:r w:rsidRPr="001836CB">
        <w:rPr>
          <w:rFonts w:ascii="仿宋_GB2312" w:hAnsi="仿宋" w:cs="宋体" w:hint="eastAsia"/>
          <w:kern w:val="0"/>
          <w:sz w:val="28"/>
          <w:szCs w:val="28"/>
        </w:rPr>
        <w:t>消杀满意度评价调查问卷调查结果得出，满分</w:t>
      </w:r>
      <w:r w:rsidRPr="001836CB">
        <w:rPr>
          <w:rFonts w:ascii="仿宋_GB2312" w:hAnsi="仿宋" w:cs="宋体" w:hint="eastAsia"/>
          <w:sz w:val="28"/>
          <w:szCs w:val="28"/>
        </w:rPr>
        <w:t>10分来核算，满意度调查表平均卷面得分9.56分。</w:t>
      </w:r>
    </w:p>
    <w:p w:rsidR="008D2112" w:rsidRPr="001836CB" w:rsidRDefault="008D2112" w:rsidP="008D2112">
      <w:pPr>
        <w:adjustRightInd w:val="0"/>
        <w:snapToGrid w:val="0"/>
        <w:spacing w:line="360" w:lineRule="auto"/>
        <w:ind w:firstLineChars="200" w:firstLine="562"/>
        <w:rPr>
          <w:rFonts w:ascii="仿宋_GB2312" w:hAnsi="仿宋" w:cs="宋体"/>
          <w:b/>
          <w:sz w:val="28"/>
          <w:szCs w:val="28"/>
        </w:rPr>
      </w:pPr>
      <w:r w:rsidRPr="001836CB">
        <w:rPr>
          <w:rFonts w:ascii="仿宋_GB2312" w:hAnsi="仿宋" w:cs="宋体" w:hint="eastAsia"/>
          <w:b/>
          <w:sz w:val="28"/>
          <w:szCs w:val="28"/>
        </w:rPr>
        <w:t>可持续影响效益:指标分值15分，实际得分15分。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第三方服务机构制定科学消杀方案并持续跟进消杀后现场效果和群众满意度，公共卫生环境持续保持良性状态；公众责任险项目2018年设立，并在其后每年将其作为常规项目，辖区内所有意外事件均得到理赔，该项目具有可持续影响性；</w:t>
      </w:r>
    </w:p>
    <w:p w:rsidR="001836CB" w:rsidRDefault="008D2112" w:rsidP="001836CB">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维修破损市政设施项目合同中设置工程质保期，关注工程维修完工后对质量的保障，保障旅客安全带来了良性可持续影响。停车费项目为违停暂扣车辆提供一段时间的停车场所，持续保障东站枢纽辖区交通顺畅。</w:t>
      </w:r>
      <w:bookmarkStart w:id="23" w:name="_Toc88914782"/>
    </w:p>
    <w:p w:rsidR="008D2112" w:rsidRPr="001836CB" w:rsidRDefault="008D2112" w:rsidP="001836CB">
      <w:pPr>
        <w:adjustRightInd w:val="0"/>
        <w:snapToGrid w:val="0"/>
        <w:spacing w:line="360" w:lineRule="auto"/>
        <w:ind w:firstLineChars="200" w:firstLine="562"/>
        <w:rPr>
          <w:rFonts w:ascii="仿宋_GB2312" w:hAnsi="仿宋" w:cs="宋体"/>
          <w:b/>
          <w:sz w:val="28"/>
          <w:szCs w:val="28"/>
        </w:rPr>
      </w:pPr>
      <w:r w:rsidRPr="001836CB">
        <w:rPr>
          <w:rFonts w:ascii="仿宋_GB2312" w:hAnsi="仿宋" w:hint="eastAsia"/>
          <w:b/>
          <w:sz w:val="28"/>
          <w:szCs w:val="28"/>
        </w:rPr>
        <w:t>2</w:t>
      </w:r>
      <w:r w:rsidR="001836CB" w:rsidRPr="001836CB">
        <w:rPr>
          <w:rFonts w:ascii="仿宋_GB2312" w:hAnsi="仿宋" w:hint="eastAsia"/>
          <w:b/>
          <w:sz w:val="28"/>
          <w:szCs w:val="28"/>
        </w:rPr>
        <w:t>.</w:t>
      </w:r>
      <w:r w:rsidRPr="001836CB">
        <w:rPr>
          <w:rFonts w:ascii="仿宋_GB2312" w:hAnsi="仿宋" w:hint="eastAsia"/>
          <w:b/>
          <w:sz w:val="28"/>
          <w:szCs w:val="28"/>
        </w:rPr>
        <w:t>财务指标情况</w:t>
      </w:r>
      <w:bookmarkEnd w:id="23"/>
    </w:p>
    <w:p w:rsidR="001836CB" w:rsidRDefault="008D2112" w:rsidP="001836CB">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财务指标从财务制度健全性、财务管理有效性、资金分配合理性、资金到位及时性、预算执行率和资金使用合规性六个角度进行评价。</w:t>
      </w:r>
      <w:r w:rsidRPr="001836CB">
        <w:rPr>
          <w:rFonts w:ascii="仿宋_GB2312" w:hAnsi="仿宋" w:cs="宋体" w:hint="eastAsia"/>
          <w:sz w:val="28"/>
          <w:szCs w:val="28"/>
        </w:rPr>
        <w:lastRenderedPageBreak/>
        <w:t>财务指标总分值20分，实际得分17.71分。</w:t>
      </w:r>
      <w:bookmarkStart w:id="24" w:name="_Toc88914783"/>
    </w:p>
    <w:p w:rsidR="008D2112" w:rsidRPr="001836CB" w:rsidRDefault="008D2112" w:rsidP="001836CB">
      <w:pPr>
        <w:adjustRightInd w:val="0"/>
        <w:snapToGrid w:val="0"/>
        <w:spacing w:line="360" w:lineRule="auto"/>
        <w:ind w:firstLineChars="200" w:firstLine="562"/>
        <w:rPr>
          <w:rFonts w:ascii="仿宋_GB2312" w:hAnsi="仿宋" w:cs="宋体"/>
          <w:b/>
          <w:sz w:val="28"/>
          <w:szCs w:val="28"/>
        </w:rPr>
      </w:pPr>
      <w:r w:rsidRPr="001836CB">
        <w:rPr>
          <w:rFonts w:ascii="仿宋_GB2312" w:hAnsi="仿宋" w:hint="eastAsia"/>
          <w:b/>
          <w:sz w:val="28"/>
          <w:szCs w:val="28"/>
        </w:rPr>
        <w:t>2.1财务制度健全性</w:t>
      </w:r>
      <w:bookmarkEnd w:id="24"/>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东站管委会于2017年6月12日印发了《杭州东站枢纽管理委员会财务管理制度》、于2016年12月26日印发了《杭州东站枢纽管理委员会内部审计工作办法》，杭州市原江干区人民政府办公室于2017年9月14日印发了《杭州市江干区行政机关合同管理办法》，财务制度合法、合规、完整。</w:t>
      </w:r>
    </w:p>
    <w:p w:rsidR="001836CB" w:rsidRDefault="008D2112" w:rsidP="001836CB">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根据评分标准和预算资金权重比例核算，财务制度健全性指标分值1分，实际得分1分。</w:t>
      </w:r>
      <w:bookmarkStart w:id="25" w:name="_Toc88914784"/>
    </w:p>
    <w:p w:rsidR="008D2112" w:rsidRPr="001836CB" w:rsidRDefault="008D2112" w:rsidP="001836CB">
      <w:pPr>
        <w:adjustRightInd w:val="0"/>
        <w:snapToGrid w:val="0"/>
        <w:spacing w:line="360" w:lineRule="auto"/>
        <w:ind w:firstLineChars="200" w:firstLine="562"/>
        <w:rPr>
          <w:rFonts w:ascii="仿宋_GB2312" w:hAnsi="仿宋" w:cs="宋体"/>
          <w:b/>
          <w:sz w:val="28"/>
          <w:szCs w:val="28"/>
        </w:rPr>
      </w:pPr>
      <w:r w:rsidRPr="001836CB">
        <w:rPr>
          <w:rFonts w:ascii="仿宋_GB2312" w:hAnsi="仿宋" w:hint="eastAsia"/>
          <w:b/>
          <w:sz w:val="28"/>
          <w:szCs w:val="28"/>
        </w:rPr>
        <w:t>2.2财务管理有效性</w:t>
      </w:r>
      <w:bookmarkEnd w:id="25"/>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东站管委会遵守《杭州东站枢纽管委会财务管理制度》、《杭州市江干区行政机关合同管理办法》、《杭州东站枢纽管理委员会内部审计工作办法》。杭州东站五优车站精细化管理项目资金支付设置审批权限，附有合同、发票、资金申请单，相关资料、手续齐全。</w:t>
      </w:r>
    </w:p>
    <w:p w:rsidR="001836CB" w:rsidRDefault="008D2112" w:rsidP="001836CB">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根据评分标准和预算资金权重比例核算，财务管理有效性指标分值1分，实际得分1分。</w:t>
      </w:r>
      <w:bookmarkStart w:id="26" w:name="_Toc88914785"/>
    </w:p>
    <w:p w:rsidR="008D2112" w:rsidRPr="001836CB" w:rsidRDefault="008D2112" w:rsidP="001836CB">
      <w:pPr>
        <w:adjustRightInd w:val="0"/>
        <w:snapToGrid w:val="0"/>
        <w:spacing w:line="360" w:lineRule="auto"/>
        <w:ind w:firstLineChars="200" w:firstLine="562"/>
        <w:rPr>
          <w:rFonts w:ascii="仿宋_GB2312" w:hAnsi="仿宋" w:cs="宋体"/>
          <w:b/>
          <w:sz w:val="28"/>
          <w:szCs w:val="28"/>
        </w:rPr>
      </w:pPr>
      <w:r w:rsidRPr="001836CB">
        <w:rPr>
          <w:rFonts w:ascii="仿宋_GB2312" w:hAnsi="仿宋" w:hint="eastAsia"/>
          <w:b/>
          <w:sz w:val="28"/>
          <w:szCs w:val="28"/>
        </w:rPr>
        <w:t>2.3资金分配合理性</w:t>
      </w:r>
      <w:bookmarkEnd w:id="26"/>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消杀项目为续签合同，资金分配依据历年合同。根据合同规定的消杀范围、消杀次数、消杀标准与10万元预算资金分配度相匹配；资金支付用途与合同规定用途相适应。根据评分标准，资金分配合理性指标分值3分，实际得分2.08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购买公众责任保险自2018年起作为常规项目支出，保单金额与保险理赔内容、理赔范围、理赔额度相匹配；资金支付用途与合同规定用途相适应。根据评分标准，资金分配合理性指标分值3分，实际得分3分。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lastRenderedPageBreak/>
        <w:t>市政设施维修项目没有对杭州东站东西广场站体柱低处沉降维修工程、招标代理费、监理费、审计费和前期需2020年支付的尾款的分配，预算资金分配依据评分点扣1分。杭州东站东西广场站体柱低处沉降维修工程预算资金149,500.00元，市政维修项目实际支付176,385.20元，出现超支现象，资金分配额度合理性扣1分。资金支付用途与合同规定用途相适应。根据评分标准，资金分配合理性指标分值3分，实际得分1分。</w:t>
      </w:r>
    </w:p>
    <w:p w:rsidR="001836CB" w:rsidRDefault="008D2112" w:rsidP="001836CB">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按照2020年每月停车费上限2万元计算，2020年停车费用为24万元，拖车费为1万元。根据停车费合同规定，每月停车费为次月15日前支付，2020年需要支付1-11月份的停车，实际支付额度只需要22万元，资金分配额度合理性扣1分。根据评分标准，资金分配合理性指标分值3分，实际得分2分。</w:t>
      </w:r>
      <w:bookmarkStart w:id="27" w:name="_Toc88914786"/>
    </w:p>
    <w:p w:rsidR="008D2112" w:rsidRPr="001836CB" w:rsidRDefault="008D2112" w:rsidP="001836CB">
      <w:pPr>
        <w:adjustRightInd w:val="0"/>
        <w:snapToGrid w:val="0"/>
        <w:spacing w:line="360" w:lineRule="auto"/>
        <w:ind w:firstLineChars="200" w:firstLine="562"/>
        <w:rPr>
          <w:rFonts w:ascii="仿宋_GB2312" w:hAnsi="仿宋" w:cs="宋体"/>
          <w:b/>
          <w:sz w:val="28"/>
          <w:szCs w:val="28"/>
        </w:rPr>
      </w:pPr>
      <w:r w:rsidRPr="001836CB">
        <w:rPr>
          <w:rFonts w:ascii="仿宋_GB2312" w:hAnsi="仿宋" w:hint="eastAsia"/>
          <w:b/>
          <w:sz w:val="28"/>
          <w:szCs w:val="28"/>
        </w:rPr>
        <w:t>2.4资金到位及时性</w:t>
      </w:r>
      <w:bookmarkEnd w:id="27"/>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资金是否按照规定时间及时到位，包括财政资金、自筹资金等。资金到位率=（实际到位资金/预算到位资金）×100%，本次项目分项资金到位率均达到100%，见下表。</w:t>
      </w:r>
    </w:p>
    <w:p w:rsidR="008D2112" w:rsidRPr="001836CB" w:rsidRDefault="008D2112" w:rsidP="001836CB">
      <w:pPr>
        <w:adjustRightInd w:val="0"/>
        <w:snapToGrid w:val="0"/>
        <w:spacing w:line="360" w:lineRule="auto"/>
        <w:ind w:leftChars="1013" w:left="6430" w:hangingChars="1323" w:hanging="3188"/>
        <w:jc w:val="left"/>
        <w:rPr>
          <w:rFonts w:ascii="仿宋_GB2312" w:hAnsi="仿宋" w:cs="宋体"/>
          <w:sz w:val="24"/>
        </w:rPr>
      </w:pPr>
      <w:r w:rsidRPr="001836CB">
        <w:rPr>
          <w:rFonts w:ascii="仿宋_GB2312" w:hAnsi="仿宋" w:cs="宋体" w:hint="eastAsia"/>
          <w:b/>
          <w:sz w:val="24"/>
        </w:rPr>
        <w:t xml:space="preserve">资金到位情况表 </w:t>
      </w:r>
      <w:r w:rsidR="001836CB">
        <w:rPr>
          <w:rFonts w:ascii="仿宋_GB2312" w:hAnsi="仿宋" w:cs="宋体" w:hint="eastAsia"/>
          <w:b/>
          <w:sz w:val="24"/>
        </w:rPr>
        <w:t xml:space="preserve">            </w:t>
      </w:r>
      <w:r w:rsidRPr="001836CB">
        <w:rPr>
          <w:rFonts w:ascii="仿宋_GB2312" w:hAnsi="仿宋" w:cs="宋体" w:hint="eastAsia"/>
          <w:b/>
          <w:sz w:val="24"/>
        </w:rPr>
        <w:t xml:space="preserve"> </w:t>
      </w:r>
      <w:r w:rsidRPr="001836CB">
        <w:rPr>
          <w:rFonts w:ascii="仿宋_GB2312" w:hAnsi="仿宋" w:cs="宋体" w:hint="eastAsia"/>
          <w:sz w:val="24"/>
        </w:rPr>
        <w:t xml:space="preserve">  单位：元</w:t>
      </w:r>
    </w:p>
    <w:tbl>
      <w:tblPr>
        <w:tblW w:w="90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9"/>
        <w:gridCol w:w="1814"/>
        <w:gridCol w:w="2257"/>
        <w:gridCol w:w="1510"/>
      </w:tblGrid>
      <w:tr w:rsidR="008D2112" w:rsidRPr="001836CB" w:rsidTr="000B76E8">
        <w:trPr>
          <w:trHeight w:val="567"/>
        </w:trPr>
        <w:tc>
          <w:tcPr>
            <w:tcW w:w="3499" w:type="dxa"/>
            <w:vAlign w:val="center"/>
          </w:tcPr>
          <w:p w:rsidR="008D2112" w:rsidRPr="001836CB" w:rsidRDefault="008D2112" w:rsidP="000B76E8">
            <w:pPr>
              <w:widowControl/>
              <w:spacing w:line="600" w:lineRule="exact"/>
              <w:jc w:val="center"/>
              <w:rPr>
                <w:rFonts w:ascii="仿宋_GB2312" w:hAnsi="仿宋" w:cs="宋体"/>
                <w:b/>
                <w:color w:val="333333"/>
                <w:kern w:val="0"/>
                <w:sz w:val="24"/>
              </w:rPr>
            </w:pPr>
            <w:r w:rsidRPr="001836CB">
              <w:rPr>
                <w:rFonts w:ascii="仿宋_GB2312" w:hAnsi="仿宋" w:cs="宋体" w:hint="eastAsia"/>
                <w:b/>
                <w:color w:val="333333"/>
                <w:kern w:val="0"/>
                <w:sz w:val="24"/>
              </w:rPr>
              <w:t>项目内容</w:t>
            </w:r>
          </w:p>
        </w:tc>
        <w:tc>
          <w:tcPr>
            <w:tcW w:w="1814" w:type="dxa"/>
            <w:vAlign w:val="center"/>
          </w:tcPr>
          <w:p w:rsidR="008D2112" w:rsidRPr="001836CB" w:rsidRDefault="008D2112" w:rsidP="000B76E8">
            <w:pPr>
              <w:widowControl/>
              <w:spacing w:line="600" w:lineRule="exact"/>
              <w:jc w:val="center"/>
              <w:rPr>
                <w:rFonts w:ascii="仿宋_GB2312" w:hAnsi="仿宋" w:cs="宋体"/>
                <w:b/>
                <w:color w:val="333333"/>
                <w:kern w:val="0"/>
                <w:sz w:val="24"/>
              </w:rPr>
            </w:pPr>
            <w:r w:rsidRPr="001836CB">
              <w:rPr>
                <w:rFonts w:ascii="仿宋_GB2312" w:hAnsi="仿宋" w:cs="宋体" w:hint="eastAsia"/>
                <w:b/>
                <w:color w:val="333333"/>
                <w:kern w:val="0"/>
                <w:sz w:val="24"/>
              </w:rPr>
              <w:t>预算资金</w:t>
            </w:r>
          </w:p>
        </w:tc>
        <w:tc>
          <w:tcPr>
            <w:tcW w:w="2257" w:type="dxa"/>
            <w:vAlign w:val="center"/>
          </w:tcPr>
          <w:p w:rsidR="008D2112" w:rsidRPr="001836CB" w:rsidRDefault="008D2112" w:rsidP="000B76E8">
            <w:pPr>
              <w:widowControl/>
              <w:spacing w:line="600" w:lineRule="exact"/>
              <w:jc w:val="center"/>
              <w:rPr>
                <w:rFonts w:ascii="仿宋_GB2312" w:hAnsi="仿宋" w:cs="宋体"/>
                <w:b/>
                <w:color w:val="333333"/>
                <w:kern w:val="0"/>
                <w:sz w:val="24"/>
              </w:rPr>
            </w:pPr>
            <w:r w:rsidRPr="001836CB">
              <w:rPr>
                <w:rFonts w:ascii="仿宋_GB2312" w:hAnsi="仿宋" w:cs="宋体" w:hint="eastAsia"/>
                <w:b/>
                <w:color w:val="333333"/>
                <w:kern w:val="0"/>
                <w:sz w:val="24"/>
              </w:rPr>
              <w:t>实际到位资金</w:t>
            </w:r>
          </w:p>
        </w:tc>
        <w:tc>
          <w:tcPr>
            <w:tcW w:w="1510" w:type="dxa"/>
            <w:vAlign w:val="center"/>
          </w:tcPr>
          <w:p w:rsidR="008D2112" w:rsidRPr="001836CB" w:rsidRDefault="008D2112" w:rsidP="000B76E8">
            <w:pPr>
              <w:widowControl/>
              <w:spacing w:line="600" w:lineRule="exact"/>
              <w:jc w:val="center"/>
              <w:rPr>
                <w:rFonts w:ascii="仿宋_GB2312" w:hAnsi="仿宋" w:cs="宋体"/>
                <w:b/>
                <w:color w:val="333333"/>
                <w:kern w:val="0"/>
                <w:sz w:val="24"/>
              </w:rPr>
            </w:pPr>
            <w:r w:rsidRPr="001836CB">
              <w:rPr>
                <w:rFonts w:ascii="仿宋_GB2312" w:hAnsi="仿宋" w:cs="宋体" w:hint="eastAsia"/>
                <w:b/>
                <w:color w:val="333333"/>
                <w:kern w:val="0"/>
                <w:sz w:val="24"/>
              </w:rPr>
              <w:t>资金到位率</w:t>
            </w:r>
          </w:p>
        </w:tc>
      </w:tr>
      <w:tr w:rsidR="008D2112" w:rsidRPr="001836CB" w:rsidTr="000B76E8">
        <w:trPr>
          <w:trHeight w:val="567"/>
        </w:trPr>
        <w:tc>
          <w:tcPr>
            <w:tcW w:w="3499" w:type="dxa"/>
          </w:tcPr>
          <w:p w:rsidR="008D2112" w:rsidRPr="001836CB" w:rsidRDefault="008D2112" w:rsidP="000B76E8">
            <w:pPr>
              <w:widowControl/>
              <w:spacing w:line="600" w:lineRule="exact"/>
              <w:rPr>
                <w:rFonts w:ascii="仿宋_GB2312" w:hAnsi="仿宋" w:cs="宋体"/>
                <w:color w:val="333333"/>
                <w:kern w:val="0"/>
                <w:sz w:val="24"/>
              </w:rPr>
            </w:pPr>
            <w:r w:rsidRPr="001836CB">
              <w:rPr>
                <w:rFonts w:ascii="仿宋_GB2312" w:hAnsi="仿宋" w:cs="宋体" w:hint="eastAsia"/>
                <w:color w:val="333333"/>
                <w:kern w:val="0"/>
                <w:sz w:val="24"/>
              </w:rPr>
              <w:t>消杀</w:t>
            </w:r>
          </w:p>
        </w:tc>
        <w:tc>
          <w:tcPr>
            <w:tcW w:w="1814" w:type="dxa"/>
          </w:tcPr>
          <w:p w:rsidR="008D2112" w:rsidRPr="001836CB" w:rsidRDefault="008D2112" w:rsidP="000B76E8">
            <w:pPr>
              <w:widowControl/>
              <w:spacing w:line="600" w:lineRule="exact"/>
              <w:jc w:val="right"/>
              <w:rPr>
                <w:rFonts w:ascii="仿宋_GB2312" w:hAnsi="仿宋" w:cs="宋体"/>
                <w:color w:val="333333"/>
                <w:kern w:val="0"/>
                <w:sz w:val="24"/>
              </w:rPr>
            </w:pPr>
            <w:r w:rsidRPr="001836CB">
              <w:rPr>
                <w:rFonts w:ascii="仿宋_GB2312" w:hAnsi="仿宋" w:cs="宋体" w:hint="eastAsia"/>
                <w:color w:val="333333"/>
                <w:kern w:val="0"/>
                <w:sz w:val="24"/>
              </w:rPr>
              <w:t>100,000.00</w:t>
            </w:r>
          </w:p>
        </w:tc>
        <w:tc>
          <w:tcPr>
            <w:tcW w:w="2257" w:type="dxa"/>
          </w:tcPr>
          <w:p w:rsidR="008D2112" w:rsidRPr="001836CB" w:rsidRDefault="008D2112" w:rsidP="000B76E8">
            <w:pPr>
              <w:widowControl/>
              <w:spacing w:line="600" w:lineRule="exact"/>
              <w:jc w:val="right"/>
              <w:rPr>
                <w:rFonts w:ascii="仿宋_GB2312" w:hAnsi="仿宋" w:cs="宋体"/>
                <w:color w:val="333333"/>
                <w:kern w:val="0"/>
                <w:sz w:val="24"/>
              </w:rPr>
            </w:pPr>
            <w:r w:rsidRPr="001836CB">
              <w:rPr>
                <w:rFonts w:ascii="仿宋_GB2312" w:hAnsi="仿宋" w:cs="宋体" w:hint="eastAsia"/>
                <w:color w:val="333333"/>
                <w:kern w:val="0"/>
                <w:sz w:val="24"/>
              </w:rPr>
              <w:t>100,000.00</w:t>
            </w:r>
          </w:p>
        </w:tc>
        <w:tc>
          <w:tcPr>
            <w:tcW w:w="1510" w:type="dxa"/>
          </w:tcPr>
          <w:p w:rsidR="008D2112" w:rsidRPr="001836CB" w:rsidRDefault="008D2112" w:rsidP="000B76E8">
            <w:pPr>
              <w:widowControl/>
              <w:spacing w:line="600" w:lineRule="exact"/>
              <w:jc w:val="right"/>
              <w:rPr>
                <w:rFonts w:ascii="仿宋_GB2312" w:hAnsi="仿宋" w:cs="宋体"/>
                <w:color w:val="333333"/>
                <w:kern w:val="0"/>
                <w:sz w:val="24"/>
              </w:rPr>
            </w:pPr>
            <w:r w:rsidRPr="001836CB">
              <w:rPr>
                <w:rFonts w:ascii="仿宋_GB2312" w:hAnsi="仿宋" w:cs="宋体" w:hint="eastAsia"/>
                <w:color w:val="333333"/>
                <w:kern w:val="0"/>
                <w:sz w:val="24"/>
              </w:rPr>
              <w:t>100%</w:t>
            </w:r>
          </w:p>
        </w:tc>
      </w:tr>
      <w:tr w:rsidR="008D2112" w:rsidRPr="001836CB" w:rsidTr="000B76E8">
        <w:trPr>
          <w:trHeight w:val="567"/>
        </w:trPr>
        <w:tc>
          <w:tcPr>
            <w:tcW w:w="3499" w:type="dxa"/>
          </w:tcPr>
          <w:p w:rsidR="008D2112" w:rsidRPr="001836CB" w:rsidRDefault="008D2112" w:rsidP="000B76E8">
            <w:pPr>
              <w:widowControl/>
              <w:spacing w:line="600" w:lineRule="exact"/>
              <w:rPr>
                <w:rFonts w:ascii="仿宋_GB2312" w:hAnsi="仿宋" w:cs="宋体"/>
                <w:color w:val="333333"/>
                <w:kern w:val="0"/>
                <w:sz w:val="24"/>
              </w:rPr>
            </w:pPr>
            <w:r w:rsidRPr="001836CB">
              <w:rPr>
                <w:rFonts w:ascii="仿宋_GB2312" w:hAnsi="仿宋" w:cs="宋体" w:hint="eastAsia"/>
                <w:color w:val="333333"/>
                <w:kern w:val="0"/>
                <w:sz w:val="24"/>
              </w:rPr>
              <w:t>公众责任险</w:t>
            </w:r>
          </w:p>
        </w:tc>
        <w:tc>
          <w:tcPr>
            <w:tcW w:w="1814" w:type="dxa"/>
          </w:tcPr>
          <w:p w:rsidR="008D2112" w:rsidRPr="001836CB" w:rsidRDefault="008D2112" w:rsidP="000B76E8">
            <w:pPr>
              <w:widowControl/>
              <w:spacing w:line="600" w:lineRule="exact"/>
              <w:jc w:val="right"/>
              <w:rPr>
                <w:rFonts w:ascii="仿宋_GB2312" w:hAnsi="仿宋" w:cs="宋体"/>
                <w:color w:val="333333"/>
                <w:kern w:val="0"/>
                <w:sz w:val="24"/>
              </w:rPr>
            </w:pPr>
            <w:r w:rsidRPr="001836CB">
              <w:rPr>
                <w:rFonts w:ascii="仿宋_GB2312" w:hAnsi="仿宋" w:cs="宋体" w:hint="eastAsia"/>
                <w:color w:val="333333"/>
                <w:kern w:val="0"/>
                <w:sz w:val="24"/>
              </w:rPr>
              <w:t>100,000.00</w:t>
            </w:r>
          </w:p>
        </w:tc>
        <w:tc>
          <w:tcPr>
            <w:tcW w:w="2257" w:type="dxa"/>
          </w:tcPr>
          <w:p w:rsidR="008D2112" w:rsidRPr="001836CB" w:rsidRDefault="008D2112" w:rsidP="000B76E8">
            <w:pPr>
              <w:widowControl/>
              <w:spacing w:line="600" w:lineRule="exact"/>
              <w:jc w:val="right"/>
              <w:rPr>
                <w:rFonts w:ascii="仿宋_GB2312" w:hAnsi="仿宋" w:cs="宋体"/>
                <w:color w:val="333333"/>
                <w:kern w:val="0"/>
                <w:sz w:val="24"/>
              </w:rPr>
            </w:pPr>
            <w:r w:rsidRPr="001836CB">
              <w:rPr>
                <w:rFonts w:ascii="仿宋_GB2312" w:hAnsi="仿宋" w:cs="宋体" w:hint="eastAsia"/>
                <w:color w:val="333333"/>
                <w:kern w:val="0"/>
                <w:sz w:val="24"/>
              </w:rPr>
              <w:t>100,000.00</w:t>
            </w:r>
          </w:p>
        </w:tc>
        <w:tc>
          <w:tcPr>
            <w:tcW w:w="1510" w:type="dxa"/>
          </w:tcPr>
          <w:p w:rsidR="008D2112" w:rsidRPr="001836CB" w:rsidRDefault="008D2112" w:rsidP="000B76E8">
            <w:pPr>
              <w:widowControl/>
              <w:spacing w:line="600" w:lineRule="exact"/>
              <w:jc w:val="right"/>
              <w:rPr>
                <w:rFonts w:ascii="仿宋_GB2312" w:hAnsi="仿宋" w:cs="宋体"/>
                <w:color w:val="333333"/>
                <w:kern w:val="0"/>
                <w:sz w:val="24"/>
              </w:rPr>
            </w:pPr>
            <w:r w:rsidRPr="001836CB">
              <w:rPr>
                <w:rFonts w:ascii="仿宋_GB2312" w:hAnsi="仿宋" w:cs="宋体" w:hint="eastAsia"/>
                <w:color w:val="333333"/>
                <w:kern w:val="0"/>
                <w:sz w:val="24"/>
              </w:rPr>
              <w:t>100%</w:t>
            </w:r>
          </w:p>
        </w:tc>
      </w:tr>
      <w:tr w:rsidR="008D2112" w:rsidRPr="001836CB" w:rsidTr="000B76E8">
        <w:trPr>
          <w:trHeight w:val="567"/>
        </w:trPr>
        <w:tc>
          <w:tcPr>
            <w:tcW w:w="3499" w:type="dxa"/>
          </w:tcPr>
          <w:p w:rsidR="008D2112" w:rsidRPr="001836CB" w:rsidRDefault="008D2112" w:rsidP="000B76E8">
            <w:pPr>
              <w:widowControl/>
              <w:spacing w:line="600" w:lineRule="exact"/>
              <w:rPr>
                <w:rFonts w:ascii="仿宋_GB2312" w:hAnsi="仿宋" w:cs="宋体"/>
                <w:color w:val="333333"/>
                <w:kern w:val="0"/>
                <w:sz w:val="24"/>
              </w:rPr>
            </w:pPr>
            <w:r w:rsidRPr="001836CB">
              <w:rPr>
                <w:rFonts w:ascii="仿宋_GB2312" w:hAnsi="仿宋" w:cs="宋体" w:hint="eastAsia"/>
                <w:color w:val="333333"/>
                <w:kern w:val="0"/>
                <w:sz w:val="24"/>
              </w:rPr>
              <w:t>市政设施维修提升</w:t>
            </w:r>
          </w:p>
        </w:tc>
        <w:tc>
          <w:tcPr>
            <w:tcW w:w="1814" w:type="dxa"/>
          </w:tcPr>
          <w:p w:rsidR="008D2112" w:rsidRPr="001836CB" w:rsidRDefault="008D2112" w:rsidP="000B76E8">
            <w:pPr>
              <w:widowControl/>
              <w:spacing w:line="600" w:lineRule="exact"/>
              <w:jc w:val="right"/>
              <w:rPr>
                <w:rFonts w:ascii="仿宋_GB2312" w:hAnsi="仿宋" w:cs="宋体"/>
                <w:color w:val="333333"/>
                <w:kern w:val="0"/>
                <w:sz w:val="24"/>
              </w:rPr>
            </w:pPr>
            <w:r w:rsidRPr="001836CB">
              <w:rPr>
                <w:rFonts w:ascii="仿宋_GB2312" w:hAnsi="仿宋" w:cs="宋体" w:hint="eastAsia"/>
                <w:color w:val="333333"/>
                <w:kern w:val="0"/>
                <w:sz w:val="24"/>
              </w:rPr>
              <w:t>150,000.00</w:t>
            </w:r>
          </w:p>
        </w:tc>
        <w:tc>
          <w:tcPr>
            <w:tcW w:w="2257" w:type="dxa"/>
          </w:tcPr>
          <w:p w:rsidR="008D2112" w:rsidRPr="001836CB" w:rsidRDefault="008D2112" w:rsidP="000B76E8">
            <w:pPr>
              <w:widowControl/>
              <w:spacing w:line="600" w:lineRule="exact"/>
              <w:jc w:val="right"/>
              <w:rPr>
                <w:rFonts w:ascii="仿宋_GB2312" w:hAnsi="仿宋" w:cs="宋体"/>
                <w:color w:val="333333"/>
                <w:kern w:val="0"/>
                <w:sz w:val="24"/>
              </w:rPr>
            </w:pPr>
            <w:r w:rsidRPr="001836CB">
              <w:rPr>
                <w:rFonts w:ascii="仿宋_GB2312" w:hAnsi="仿宋" w:cs="宋体" w:hint="eastAsia"/>
                <w:color w:val="333333"/>
                <w:kern w:val="0"/>
                <w:sz w:val="24"/>
              </w:rPr>
              <w:t>150,000.00</w:t>
            </w:r>
          </w:p>
        </w:tc>
        <w:tc>
          <w:tcPr>
            <w:tcW w:w="1510" w:type="dxa"/>
          </w:tcPr>
          <w:p w:rsidR="008D2112" w:rsidRPr="001836CB" w:rsidRDefault="008D2112" w:rsidP="000B76E8">
            <w:pPr>
              <w:widowControl/>
              <w:spacing w:line="600" w:lineRule="exact"/>
              <w:jc w:val="right"/>
              <w:rPr>
                <w:rFonts w:ascii="仿宋_GB2312" w:hAnsi="仿宋" w:cs="宋体"/>
                <w:color w:val="333333"/>
                <w:kern w:val="0"/>
                <w:sz w:val="24"/>
              </w:rPr>
            </w:pPr>
            <w:r w:rsidRPr="001836CB">
              <w:rPr>
                <w:rFonts w:ascii="仿宋_GB2312" w:hAnsi="仿宋" w:cs="宋体" w:hint="eastAsia"/>
                <w:color w:val="333333"/>
                <w:kern w:val="0"/>
                <w:sz w:val="24"/>
              </w:rPr>
              <w:t>100%</w:t>
            </w:r>
          </w:p>
        </w:tc>
      </w:tr>
      <w:tr w:rsidR="008D2112" w:rsidRPr="001836CB" w:rsidTr="000B76E8">
        <w:trPr>
          <w:trHeight w:val="567"/>
        </w:trPr>
        <w:tc>
          <w:tcPr>
            <w:tcW w:w="3499" w:type="dxa"/>
          </w:tcPr>
          <w:p w:rsidR="008D2112" w:rsidRPr="001836CB" w:rsidRDefault="008D2112" w:rsidP="000B76E8">
            <w:pPr>
              <w:widowControl/>
              <w:spacing w:line="600" w:lineRule="exact"/>
              <w:rPr>
                <w:rFonts w:ascii="仿宋_GB2312" w:hAnsi="仿宋" w:cs="宋体"/>
                <w:color w:val="333333"/>
                <w:kern w:val="0"/>
                <w:sz w:val="24"/>
              </w:rPr>
            </w:pPr>
            <w:r w:rsidRPr="001836CB">
              <w:rPr>
                <w:rFonts w:ascii="仿宋_GB2312" w:hAnsi="仿宋" w:cs="宋体" w:hint="eastAsia"/>
                <w:color w:val="333333"/>
                <w:kern w:val="0"/>
                <w:sz w:val="24"/>
              </w:rPr>
              <w:t>违法车辆拖移动停车费、运输费</w:t>
            </w:r>
          </w:p>
        </w:tc>
        <w:tc>
          <w:tcPr>
            <w:tcW w:w="1814" w:type="dxa"/>
          </w:tcPr>
          <w:p w:rsidR="008D2112" w:rsidRPr="001836CB" w:rsidRDefault="008D2112" w:rsidP="000B76E8">
            <w:pPr>
              <w:widowControl/>
              <w:spacing w:line="600" w:lineRule="exact"/>
              <w:jc w:val="right"/>
              <w:rPr>
                <w:rFonts w:ascii="仿宋_GB2312" w:hAnsi="仿宋" w:cs="宋体"/>
                <w:color w:val="333333"/>
                <w:kern w:val="0"/>
                <w:sz w:val="24"/>
              </w:rPr>
            </w:pPr>
            <w:r w:rsidRPr="001836CB">
              <w:rPr>
                <w:rFonts w:ascii="仿宋_GB2312" w:hAnsi="仿宋" w:cs="宋体" w:hint="eastAsia"/>
                <w:color w:val="333333"/>
                <w:kern w:val="0"/>
                <w:sz w:val="24"/>
              </w:rPr>
              <w:t>250,000.00</w:t>
            </w:r>
          </w:p>
        </w:tc>
        <w:tc>
          <w:tcPr>
            <w:tcW w:w="2257" w:type="dxa"/>
          </w:tcPr>
          <w:p w:rsidR="008D2112" w:rsidRPr="001836CB" w:rsidRDefault="008D2112" w:rsidP="000B76E8">
            <w:pPr>
              <w:widowControl/>
              <w:spacing w:line="600" w:lineRule="exact"/>
              <w:jc w:val="right"/>
              <w:rPr>
                <w:rFonts w:ascii="仿宋_GB2312" w:hAnsi="仿宋" w:cs="宋体"/>
                <w:color w:val="333333"/>
                <w:kern w:val="0"/>
                <w:sz w:val="24"/>
              </w:rPr>
            </w:pPr>
            <w:r w:rsidRPr="001836CB">
              <w:rPr>
                <w:rFonts w:ascii="仿宋_GB2312" w:hAnsi="仿宋" w:cs="宋体" w:hint="eastAsia"/>
                <w:color w:val="333333"/>
                <w:kern w:val="0"/>
                <w:sz w:val="24"/>
              </w:rPr>
              <w:t>250,000.00</w:t>
            </w:r>
          </w:p>
        </w:tc>
        <w:tc>
          <w:tcPr>
            <w:tcW w:w="1510" w:type="dxa"/>
          </w:tcPr>
          <w:p w:rsidR="008D2112" w:rsidRPr="001836CB" w:rsidRDefault="008D2112" w:rsidP="000B76E8">
            <w:pPr>
              <w:widowControl/>
              <w:spacing w:line="600" w:lineRule="exact"/>
              <w:jc w:val="right"/>
              <w:rPr>
                <w:rFonts w:ascii="仿宋_GB2312" w:hAnsi="仿宋" w:cs="宋体"/>
                <w:color w:val="333333"/>
                <w:kern w:val="0"/>
                <w:sz w:val="24"/>
              </w:rPr>
            </w:pPr>
            <w:r w:rsidRPr="001836CB">
              <w:rPr>
                <w:rFonts w:ascii="仿宋_GB2312" w:hAnsi="仿宋" w:cs="宋体" w:hint="eastAsia"/>
                <w:color w:val="333333"/>
                <w:kern w:val="0"/>
                <w:sz w:val="24"/>
              </w:rPr>
              <w:t>100%</w:t>
            </w:r>
          </w:p>
        </w:tc>
      </w:tr>
      <w:tr w:rsidR="008D2112" w:rsidRPr="001836CB" w:rsidTr="000B76E8">
        <w:trPr>
          <w:trHeight w:val="567"/>
        </w:trPr>
        <w:tc>
          <w:tcPr>
            <w:tcW w:w="3499" w:type="dxa"/>
          </w:tcPr>
          <w:p w:rsidR="008D2112" w:rsidRPr="001836CB" w:rsidRDefault="008D2112" w:rsidP="000B76E8">
            <w:pPr>
              <w:widowControl/>
              <w:spacing w:line="600" w:lineRule="exact"/>
              <w:rPr>
                <w:rFonts w:ascii="仿宋_GB2312" w:hAnsi="仿宋" w:cs="宋体"/>
                <w:color w:val="333333"/>
                <w:kern w:val="0"/>
                <w:sz w:val="24"/>
              </w:rPr>
            </w:pPr>
            <w:r w:rsidRPr="001836CB">
              <w:rPr>
                <w:rFonts w:ascii="仿宋_GB2312" w:hAnsi="仿宋" w:cs="宋体" w:hint="eastAsia"/>
                <w:color w:val="333333"/>
                <w:kern w:val="0"/>
                <w:sz w:val="24"/>
              </w:rPr>
              <w:t>合计</w:t>
            </w:r>
          </w:p>
        </w:tc>
        <w:tc>
          <w:tcPr>
            <w:tcW w:w="1814" w:type="dxa"/>
          </w:tcPr>
          <w:p w:rsidR="008D2112" w:rsidRPr="001836CB" w:rsidRDefault="008D2112" w:rsidP="000B76E8">
            <w:pPr>
              <w:widowControl/>
              <w:spacing w:line="600" w:lineRule="exact"/>
              <w:jc w:val="right"/>
              <w:rPr>
                <w:rFonts w:ascii="仿宋_GB2312" w:hAnsi="仿宋" w:cs="宋体"/>
                <w:color w:val="333333"/>
                <w:kern w:val="0"/>
                <w:sz w:val="24"/>
              </w:rPr>
            </w:pPr>
            <w:r w:rsidRPr="001836CB">
              <w:rPr>
                <w:rFonts w:ascii="仿宋_GB2312" w:hAnsi="仿宋" w:cs="宋体" w:hint="eastAsia"/>
                <w:color w:val="333333"/>
                <w:kern w:val="0"/>
                <w:sz w:val="24"/>
              </w:rPr>
              <w:t>600,000.00</w:t>
            </w:r>
          </w:p>
        </w:tc>
        <w:tc>
          <w:tcPr>
            <w:tcW w:w="2257" w:type="dxa"/>
          </w:tcPr>
          <w:p w:rsidR="008D2112" w:rsidRPr="001836CB" w:rsidRDefault="008D2112" w:rsidP="000B76E8">
            <w:pPr>
              <w:widowControl/>
              <w:spacing w:line="600" w:lineRule="exact"/>
              <w:jc w:val="right"/>
              <w:rPr>
                <w:rFonts w:ascii="仿宋_GB2312" w:hAnsi="仿宋" w:cs="宋体"/>
                <w:color w:val="333333"/>
                <w:kern w:val="0"/>
                <w:sz w:val="24"/>
              </w:rPr>
            </w:pPr>
            <w:r w:rsidRPr="001836CB">
              <w:rPr>
                <w:rFonts w:ascii="仿宋_GB2312" w:hAnsi="仿宋" w:cs="宋体" w:hint="eastAsia"/>
                <w:color w:val="333333"/>
                <w:kern w:val="0"/>
                <w:sz w:val="24"/>
              </w:rPr>
              <w:t>600,000.00</w:t>
            </w:r>
          </w:p>
        </w:tc>
        <w:tc>
          <w:tcPr>
            <w:tcW w:w="1510" w:type="dxa"/>
          </w:tcPr>
          <w:p w:rsidR="008D2112" w:rsidRPr="001836CB" w:rsidRDefault="008D2112" w:rsidP="000B76E8">
            <w:pPr>
              <w:widowControl/>
              <w:spacing w:line="600" w:lineRule="exact"/>
              <w:jc w:val="right"/>
              <w:rPr>
                <w:rFonts w:ascii="仿宋_GB2312" w:hAnsi="仿宋" w:cs="宋体"/>
                <w:color w:val="333333"/>
                <w:kern w:val="0"/>
                <w:sz w:val="24"/>
              </w:rPr>
            </w:pPr>
            <w:r w:rsidRPr="001836CB">
              <w:rPr>
                <w:rFonts w:ascii="仿宋_GB2312" w:hAnsi="仿宋" w:cs="宋体" w:hint="eastAsia"/>
                <w:color w:val="333333"/>
                <w:kern w:val="0"/>
                <w:sz w:val="24"/>
              </w:rPr>
              <w:t>100%</w:t>
            </w:r>
          </w:p>
        </w:tc>
      </w:tr>
    </w:tbl>
    <w:p w:rsidR="001836CB" w:rsidRDefault="008D2112" w:rsidP="00384EB3">
      <w:pPr>
        <w:adjustRightInd w:val="0"/>
        <w:snapToGrid w:val="0"/>
        <w:spacing w:beforeLines="50" w:line="360" w:lineRule="auto"/>
        <w:ind w:firstLineChars="200" w:firstLine="480"/>
        <w:rPr>
          <w:rFonts w:ascii="仿宋_GB2312" w:hAnsi="仿宋" w:cs="宋体"/>
          <w:sz w:val="24"/>
        </w:rPr>
      </w:pPr>
      <w:r w:rsidRPr="001836CB">
        <w:rPr>
          <w:rFonts w:ascii="仿宋_GB2312" w:hAnsi="仿宋" w:cs="宋体" w:hint="eastAsia"/>
          <w:sz w:val="24"/>
        </w:rPr>
        <w:t>根据评分标准，资金到位及时性指标分值1分，实际得分1分。</w:t>
      </w:r>
      <w:bookmarkStart w:id="28" w:name="_Toc88914787"/>
    </w:p>
    <w:p w:rsidR="008D2112" w:rsidRPr="001836CB" w:rsidRDefault="008D2112" w:rsidP="00384EB3">
      <w:pPr>
        <w:adjustRightInd w:val="0"/>
        <w:snapToGrid w:val="0"/>
        <w:spacing w:beforeLines="50" w:line="360" w:lineRule="auto"/>
        <w:ind w:firstLineChars="200" w:firstLine="562"/>
        <w:rPr>
          <w:rFonts w:ascii="仿宋_GB2312" w:hAnsi="仿宋" w:cs="宋体"/>
          <w:b/>
          <w:sz w:val="24"/>
        </w:rPr>
      </w:pPr>
      <w:r w:rsidRPr="001836CB">
        <w:rPr>
          <w:rFonts w:ascii="仿宋_GB2312" w:hAnsi="仿宋" w:hint="eastAsia"/>
          <w:b/>
          <w:sz w:val="28"/>
          <w:szCs w:val="28"/>
        </w:rPr>
        <w:lastRenderedPageBreak/>
        <w:t>2.5预算执行率</w:t>
      </w:r>
      <w:bookmarkEnd w:id="28"/>
    </w:p>
    <w:p w:rsidR="008D2112" w:rsidRPr="00302988" w:rsidRDefault="008D2112" w:rsidP="008D2112">
      <w:pPr>
        <w:adjustRightInd w:val="0"/>
        <w:snapToGrid w:val="0"/>
        <w:spacing w:line="360" w:lineRule="auto"/>
        <w:ind w:firstLineChars="200" w:firstLine="560"/>
        <w:rPr>
          <w:rFonts w:ascii="仿宋_GB2312" w:hAnsi="仿宋" w:cs="宋体"/>
          <w:b/>
          <w:sz w:val="24"/>
        </w:rPr>
      </w:pPr>
      <w:r w:rsidRPr="001836CB">
        <w:rPr>
          <w:rFonts w:ascii="仿宋_GB2312" w:hAnsi="仿宋" w:cs="宋体" w:hint="eastAsia"/>
          <w:sz w:val="28"/>
          <w:szCs w:val="28"/>
        </w:rPr>
        <w:t>预算执行率反映项目预算资金是否按照计划执行，预算执行率=（实际支出资金/实际到位资金）×100%，本次项目分项预算执行率见下表。</w:t>
      </w:r>
    </w:p>
    <w:p w:rsidR="008D2112" w:rsidRPr="00302988" w:rsidRDefault="008D2112" w:rsidP="00302988">
      <w:pPr>
        <w:adjustRightInd w:val="0"/>
        <w:snapToGrid w:val="0"/>
        <w:spacing w:line="360" w:lineRule="auto"/>
        <w:ind w:firstLineChars="2500" w:firstLine="6000"/>
        <w:jc w:val="left"/>
        <w:rPr>
          <w:rFonts w:ascii="仿宋_GB2312"/>
          <w:sz w:val="24"/>
        </w:rPr>
      </w:pPr>
      <w:r w:rsidRPr="00302988">
        <w:rPr>
          <w:rFonts w:ascii="仿宋_GB2312" w:hAnsi="仿宋" w:cs="宋体" w:hint="eastAsia"/>
          <w:sz w:val="24"/>
        </w:rPr>
        <w:t>单位：元</w:t>
      </w:r>
    </w:p>
    <w:tbl>
      <w:tblPr>
        <w:tblW w:w="8180" w:type="dxa"/>
        <w:tblInd w:w="281" w:type="dxa"/>
        <w:tblLayout w:type="fixed"/>
        <w:tblLook w:val="04A0"/>
      </w:tblPr>
      <w:tblGrid>
        <w:gridCol w:w="3040"/>
        <w:gridCol w:w="1864"/>
        <w:gridCol w:w="1752"/>
        <w:gridCol w:w="1524"/>
      </w:tblGrid>
      <w:tr w:rsidR="008D2112" w:rsidRPr="00302988" w:rsidTr="000B76E8">
        <w:trPr>
          <w:trHeight w:val="567"/>
          <w:tblHeader/>
        </w:trPr>
        <w:tc>
          <w:tcPr>
            <w:tcW w:w="3040" w:type="dxa"/>
            <w:tcBorders>
              <w:top w:val="single" w:sz="4" w:space="0" w:color="000000"/>
              <w:left w:val="single" w:sz="4" w:space="0" w:color="000000"/>
              <w:bottom w:val="nil"/>
              <w:right w:val="single" w:sz="4" w:space="0" w:color="000000"/>
            </w:tcBorders>
            <w:noWrap/>
            <w:vAlign w:val="center"/>
          </w:tcPr>
          <w:p w:rsidR="008D2112" w:rsidRPr="00302988" w:rsidRDefault="008D2112" w:rsidP="000B76E8">
            <w:pPr>
              <w:widowControl/>
              <w:jc w:val="center"/>
              <w:textAlignment w:val="center"/>
              <w:rPr>
                <w:rFonts w:ascii="仿宋_GB2312" w:hAnsi="仿宋" w:cs="宋体"/>
                <w:b/>
                <w:bCs/>
                <w:color w:val="000000"/>
                <w:sz w:val="24"/>
              </w:rPr>
            </w:pPr>
            <w:r w:rsidRPr="00302988">
              <w:rPr>
                <w:rFonts w:ascii="仿宋_GB2312" w:hAnsi="仿宋" w:cs="宋体" w:hint="eastAsia"/>
                <w:b/>
                <w:bCs/>
                <w:color w:val="000000"/>
                <w:kern w:val="0"/>
                <w:sz w:val="24"/>
              </w:rPr>
              <w:t>项目名称</w:t>
            </w:r>
          </w:p>
        </w:tc>
        <w:tc>
          <w:tcPr>
            <w:tcW w:w="1864" w:type="dxa"/>
            <w:tcBorders>
              <w:top w:val="single" w:sz="4" w:space="0" w:color="000000"/>
              <w:left w:val="single" w:sz="4" w:space="0" w:color="000000"/>
              <w:bottom w:val="nil"/>
              <w:right w:val="nil"/>
            </w:tcBorders>
            <w:noWrap/>
            <w:vAlign w:val="center"/>
          </w:tcPr>
          <w:p w:rsidR="008D2112" w:rsidRPr="00302988" w:rsidRDefault="008D2112" w:rsidP="000B76E8">
            <w:pPr>
              <w:widowControl/>
              <w:jc w:val="center"/>
              <w:textAlignment w:val="center"/>
              <w:rPr>
                <w:rFonts w:ascii="仿宋_GB2312" w:hAnsi="仿宋" w:cs="宋体"/>
                <w:b/>
                <w:bCs/>
                <w:color w:val="000000"/>
                <w:sz w:val="24"/>
              </w:rPr>
            </w:pPr>
            <w:r w:rsidRPr="00302988">
              <w:rPr>
                <w:rFonts w:ascii="仿宋_GB2312" w:hAnsi="仿宋" w:cs="宋体" w:hint="eastAsia"/>
                <w:b/>
                <w:bCs/>
                <w:color w:val="000000"/>
                <w:kern w:val="0"/>
                <w:sz w:val="24"/>
              </w:rPr>
              <w:t>预算资金</w:t>
            </w:r>
          </w:p>
        </w:tc>
        <w:tc>
          <w:tcPr>
            <w:tcW w:w="1752" w:type="dxa"/>
            <w:tcBorders>
              <w:top w:val="single" w:sz="4" w:space="0" w:color="000000"/>
              <w:left w:val="single" w:sz="4" w:space="0" w:color="000000"/>
              <w:bottom w:val="nil"/>
              <w:right w:val="single" w:sz="4" w:space="0" w:color="auto"/>
            </w:tcBorders>
            <w:noWrap/>
            <w:vAlign w:val="center"/>
          </w:tcPr>
          <w:p w:rsidR="008D2112" w:rsidRPr="00302988" w:rsidRDefault="008D2112" w:rsidP="000B76E8">
            <w:pPr>
              <w:widowControl/>
              <w:jc w:val="center"/>
              <w:textAlignment w:val="center"/>
              <w:rPr>
                <w:rFonts w:ascii="仿宋_GB2312" w:hAnsi="仿宋" w:cs="宋体"/>
                <w:b/>
                <w:bCs/>
                <w:color w:val="000000"/>
                <w:kern w:val="0"/>
                <w:sz w:val="24"/>
              </w:rPr>
            </w:pPr>
            <w:r w:rsidRPr="00302988">
              <w:rPr>
                <w:rFonts w:ascii="仿宋_GB2312" w:hAnsi="仿宋" w:cs="宋体" w:hint="eastAsia"/>
                <w:b/>
                <w:bCs/>
                <w:color w:val="000000"/>
                <w:kern w:val="0"/>
                <w:sz w:val="24"/>
              </w:rPr>
              <w:t>实际支出资金</w:t>
            </w:r>
          </w:p>
        </w:tc>
        <w:tc>
          <w:tcPr>
            <w:tcW w:w="1524" w:type="dxa"/>
            <w:tcBorders>
              <w:top w:val="single" w:sz="4" w:space="0" w:color="auto"/>
              <w:left w:val="single" w:sz="4" w:space="0" w:color="auto"/>
              <w:bottom w:val="nil"/>
              <w:right w:val="single" w:sz="4" w:space="0" w:color="auto"/>
            </w:tcBorders>
            <w:noWrap/>
            <w:vAlign w:val="center"/>
          </w:tcPr>
          <w:p w:rsidR="008D2112" w:rsidRPr="00302988" w:rsidRDefault="008D2112" w:rsidP="000B76E8">
            <w:pPr>
              <w:widowControl/>
              <w:jc w:val="center"/>
              <w:textAlignment w:val="center"/>
              <w:rPr>
                <w:rFonts w:ascii="仿宋_GB2312" w:hAnsi="仿宋" w:cs="宋体"/>
                <w:b/>
                <w:bCs/>
                <w:color w:val="000000"/>
                <w:kern w:val="0"/>
                <w:sz w:val="24"/>
              </w:rPr>
            </w:pPr>
            <w:r w:rsidRPr="00302988">
              <w:rPr>
                <w:rFonts w:ascii="仿宋_GB2312" w:hAnsi="仿宋" w:cs="宋体" w:hint="eastAsia"/>
                <w:b/>
                <w:bCs/>
                <w:color w:val="000000"/>
                <w:kern w:val="0"/>
                <w:sz w:val="24"/>
              </w:rPr>
              <w:t>预算执行率</w:t>
            </w:r>
          </w:p>
        </w:tc>
      </w:tr>
      <w:tr w:rsidR="008D2112" w:rsidRPr="00302988" w:rsidTr="000B76E8">
        <w:trPr>
          <w:trHeight w:val="567"/>
        </w:trPr>
        <w:tc>
          <w:tcPr>
            <w:tcW w:w="3040"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left"/>
              <w:textAlignment w:val="center"/>
              <w:rPr>
                <w:rFonts w:ascii="仿宋_GB2312" w:hAnsi="仿宋" w:cs="宋体"/>
                <w:color w:val="000000"/>
                <w:sz w:val="24"/>
              </w:rPr>
            </w:pPr>
            <w:r w:rsidRPr="00302988">
              <w:rPr>
                <w:rFonts w:ascii="仿宋_GB2312" w:hAnsi="仿宋" w:cs="宋体" w:hint="eastAsia"/>
                <w:color w:val="333333"/>
                <w:kern w:val="0"/>
                <w:sz w:val="24"/>
              </w:rPr>
              <w:t>消杀</w:t>
            </w:r>
          </w:p>
        </w:tc>
        <w:tc>
          <w:tcPr>
            <w:tcW w:w="1864"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right"/>
              <w:textAlignment w:val="center"/>
              <w:rPr>
                <w:rFonts w:ascii="仿宋_GB2312" w:hAnsi="仿宋" w:cs="宋体"/>
                <w:color w:val="000000"/>
                <w:sz w:val="24"/>
              </w:rPr>
            </w:pPr>
            <w:r w:rsidRPr="00302988">
              <w:rPr>
                <w:rFonts w:ascii="仿宋_GB2312" w:hAnsi="仿宋" w:cs="宋体" w:hint="eastAsia"/>
                <w:color w:val="000000"/>
                <w:kern w:val="0"/>
                <w:sz w:val="24"/>
              </w:rPr>
              <w:t xml:space="preserve">100,000.00 </w:t>
            </w:r>
          </w:p>
        </w:tc>
        <w:tc>
          <w:tcPr>
            <w:tcW w:w="1752" w:type="dxa"/>
            <w:tcBorders>
              <w:top w:val="single" w:sz="4" w:space="0" w:color="000000"/>
              <w:left w:val="single" w:sz="4" w:space="0" w:color="000000"/>
              <w:bottom w:val="single" w:sz="4" w:space="0" w:color="000000"/>
              <w:right w:val="single" w:sz="4" w:space="0" w:color="auto"/>
            </w:tcBorders>
            <w:noWrap/>
            <w:vAlign w:val="center"/>
          </w:tcPr>
          <w:p w:rsidR="008D2112" w:rsidRPr="00302988" w:rsidRDefault="008D2112" w:rsidP="000B76E8">
            <w:pPr>
              <w:widowControl/>
              <w:jc w:val="right"/>
              <w:textAlignment w:val="center"/>
              <w:rPr>
                <w:rFonts w:ascii="仿宋_GB2312" w:hAnsi="仿宋" w:cs="宋体"/>
                <w:color w:val="000000"/>
                <w:kern w:val="0"/>
                <w:sz w:val="24"/>
              </w:rPr>
            </w:pPr>
            <w:r w:rsidRPr="00302988">
              <w:rPr>
                <w:rFonts w:ascii="仿宋_GB2312" w:hAnsi="仿宋" w:cs="宋体" w:hint="eastAsia"/>
                <w:color w:val="000000"/>
                <w:kern w:val="0"/>
                <w:sz w:val="24"/>
              </w:rPr>
              <w:t>95,500.00</w:t>
            </w:r>
          </w:p>
        </w:tc>
        <w:tc>
          <w:tcPr>
            <w:tcW w:w="1524" w:type="dxa"/>
            <w:tcBorders>
              <w:top w:val="single" w:sz="4" w:space="0" w:color="000000"/>
              <w:left w:val="single" w:sz="4" w:space="0" w:color="auto"/>
              <w:bottom w:val="single" w:sz="4" w:space="0" w:color="auto"/>
              <w:right w:val="single" w:sz="4" w:space="0" w:color="auto"/>
            </w:tcBorders>
            <w:noWrap/>
            <w:vAlign w:val="center"/>
          </w:tcPr>
          <w:p w:rsidR="008D2112" w:rsidRPr="00302988" w:rsidRDefault="008D2112" w:rsidP="000B76E8">
            <w:pPr>
              <w:widowControl/>
              <w:jc w:val="right"/>
              <w:textAlignment w:val="center"/>
              <w:rPr>
                <w:rFonts w:ascii="仿宋_GB2312" w:hAnsi="仿宋" w:cs="宋体"/>
                <w:color w:val="000000"/>
                <w:kern w:val="0"/>
                <w:sz w:val="24"/>
              </w:rPr>
            </w:pPr>
            <w:r w:rsidRPr="00302988">
              <w:rPr>
                <w:rFonts w:ascii="仿宋_GB2312" w:hAnsi="仿宋" w:cs="宋体" w:hint="eastAsia"/>
                <w:color w:val="000000"/>
                <w:kern w:val="0"/>
                <w:sz w:val="24"/>
              </w:rPr>
              <w:t>95.5%</w:t>
            </w:r>
          </w:p>
        </w:tc>
      </w:tr>
      <w:tr w:rsidR="008D2112" w:rsidRPr="00302988" w:rsidTr="000B76E8">
        <w:trPr>
          <w:trHeight w:val="567"/>
        </w:trPr>
        <w:tc>
          <w:tcPr>
            <w:tcW w:w="3040"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left"/>
              <w:textAlignment w:val="center"/>
              <w:rPr>
                <w:rFonts w:ascii="仿宋_GB2312" w:hAnsi="仿宋" w:cs="宋体"/>
                <w:color w:val="000000"/>
                <w:sz w:val="24"/>
              </w:rPr>
            </w:pPr>
            <w:r w:rsidRPr="00302988">
              <w:rPr>
                <w:rFonts w:ascii="仿宋_GB2312" w:hAnsi="仿宋" w:cs="宋体" w:hint="eastAsia"/>
                <w:color w:val="000000"/>
                <w:kern w:val="0"/>
                <w:sz w:val="24"/>
              </w:rPr>
              <w:t>公众责任险</w:t>
            </w:r>
          </w:p>
        </w:tc>
        <w:tc>
          <w:tcPr>
            <w:tcW w:w="1864"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right"/>
              <w:textAlignment w:val="center"/>
              <w:rPr>
                <w:rFonts w:ascii="仿宋_GB2312" w:hAnsi="仿宋" w:cs="宋体"/>
                <w:color w:val="000000"/>
                <w:sz w:val="24"/>
              </w:rPr>
            </w:pPr>
            <w:r w:rsidRPr="00302988">
              <w:rPr>
                <w:rFonts w:ascii="仿宋_GB2312" w:hAnsi="仿宋" w:cs="宋体" w:hint="eastAsia"/>
                <w:color w:val="000000"/>
                <w:kern w:val="0"/>
                <w:sz w:val="24"/>
              </w:rPr>
              <w:t xml:space="preserve">100,000.00  </w:t>
            </w:r>
          </w:p>
        </w:tc>
        <w:tc>
          <w:tcPr>
            <w:tcW w:w="1752"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right"/>
              <w:textAlignment w:val="center"/>
              <w:rPr>
                <w:rFonts w:ascii="仿宋_GB2312" w:hAnsi="仿宋" w:cs="宋体"/>
                <w:color w:val="000000"/>
                <w:kern w:val="0"/>
                <w:sz w:val="24"/>
              </w:rPr>
            </w:pPr>
            <w:r w:rsidRPr="00302988">
              <w:rPr>
                <w:rFonts w:ascii="仿宋_GB2312" w:hAnsi="仿宋" w:cs="宋体" w:hint="eastAsia"/>
                <w:color w:val="000000"/>
                <w:kern w:val="0"/>
                <w:sz w:val="24"/>
              </w:rPr>
              <w:t>98,000.00</w:t>
            </w:r>
          </w:p>
        </w:tc>
        <w:tc>
          <w:tcPr>
            <w:tcW w:w="1524" w:type="dxa"/>
            <w:tcBorders>
              <w:top w:val="single" w:sz="4" w:space="0" w:color="auto"/>
              <w:left w:val="single" w:sz="4" w:space="0" w:color="000000"/>
              <w:bottom w:val="single" w:sz="4" w:space="0" w:color="000000"/>
              <w:right w:val="single" w:sz="4" w:space="0" w:color="000000"/>
            </w:tcBorders>
            <w:noWrap/>
            <w:vAlign w:val="center"/>
          </w:tcPr>
          <w:p w:rsidR="008D2112" w:rsidRPr="00302988" w:rsidRDefault="008D2112" w:rsidP="000B76E8">
            <w:pPr>
              <w:widowControl/>
              <w:jc w:val="right"/>
              <w:textAlignment w:val="center"/>
              <w:rPr>
                <w:rFonts w:ascii="仿宋_GB2312" w:hAnsi="仿宋" w:cs="宋体"/>
                <w:color w:val="000000"/>
                <w:kern w:val="0"/>
                <w:sz w:val="24"/>
              </w:rPr>
            </w:pPr>
            <w:r w:rsidRPr="00302988">
              <w:rPr>
                <w:rFonts w:ascii="仿宋_GB2312" w:hAnsi="仿宋" w:cs="宋体" w:hint="eastAsia"/>
                <w:color w:val="000000"/>
                <w:kern w:val="0"/>
                <w:sz w:val="24"/>
              </w:rPr>
              <w:t>98%</w:t>
            </w:r>
          </w:p>
        </w:tc>
      </w:tr>
      <w:tr w:rsidR="008D2112" w:rsidRPr="00302988" w:rsidTr="000B76E8">
        <w:trPr>
          <w:trHeight w:val="567"/>
        </w:trPr>
        <w:tc>
          <w:tcPr>
            <w:tcW w:w="3040"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left"/>
              <w:textAlignment w:val="center"/>
              <w:rPr>
                <w:rFonts w:ascii="仿宋_GB2312" w:hAnsi="仿宋" w:cs="宋体"/>
                <w:color w:val="000000"/>
                <w:sz w:val="24"/>
              </w:rPr>
            </w:pPr>
            <w:r w:rsidRPr="00302988">
              <w:rPr>
                <w:rFonts w:ascii="仿宋_GB2312" w:hAnsi="仿宋" w:cs="宋体" w:hint="eastAsia"/>
                <w:color w:val="000000"/>
                <w:kern w:val="0"/>
                <w:sz w:val="24"/>
              </w:rPr>
              <w:t>市政设施维修提升</w:t>
            </w:r>
          </w:p>
        </w:tc>
        <w:tc>
          <w:tcPr>
            <w:tcW w:w="1864"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right"/>
              <w:textAlignment w:val="center"/>
              <w:rPr>
                <w:rFonts w:ascii="仿宋_GB2312" w:hAnsi="仿宋" w:cs="宋体"/>
                <w:color w:val="000000"/>
                <w:sz w:val="24"/>
              </w:rPr>
            </w:pPr>
            <w:r w:rsidRPr="00302988">
              <w:rPr>
                <w:rFonts w:ascii="仿宋_GB2312" w:hAnsi="仿宋" w:cs="宋体" w:hint="eastAsia"/>
                <w:color w:val="000000"/>
                <w:kern w:val="0"/>
                <w:sz w:val="24"/>
              </w:rPr>
              <w:t xml:space="preserve">150,000.00 </w:t>
            </w:r>
          </w:p>
        </w:tc>
        <w:tc>
          <w:tcPr>
            <w:tcW w:w="1752"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right"/>
              <w:textAlignment w:val="center"/>
              <w:rPr>
                <w:rFonts w:ascii="仿宋_GB2312" w:hAnsi="仿宋" w:cs="宋体"/>
                <w:color w:val="000000"/>
                <w:kern w:val="0"/>
                <w:sz w:val="24"/>
              </w:rPr>
            </w:pPr>
            <w:r w:rsidRPr="00302988">
              <w:rPr>
                <w:rFonts w:ascii="仿宋_GB2312" w:hAnsi="仿宋" w:cs="宋体" w:hint="eastAsia"/>
                <w:color w:val="000000"/>
                <w:kern w:val="0"/>
                <w:sz w:val="24"/>
              </w:rPr>
              <w:t>176,385.20</w:t>
            </w:r>
          </w:p>
        </w:tc>
        <w:tc>
          <w:tcPr>
            <w:tcW w:w="1524"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right"/>
              <w:textAlignment w:val="center"/>
              <w:rPr>
                <w:rFonts w:ascii="仿宋_GB2312" w:hAnsi="仿宋" w:cs="宋体"/>
                <w:color w:val="000000"/>
                <w:kern w:val="0"/>
                <w:sz w:val="24"/>
              </w:rPr>
            </w:pPr>
            <w:r w:rsidRPr="00302988">
              <w:rPr>
                <w:rFonts w:ascii="仿宋_GB2312" w:hAnsi="仿宋" w:cs="宋体" w:hint="eastAsia"/>
                <w:color w:val="000000"/>
                <w:kern w:val="0"/>
                <w:sz w:val="24"/>
              </w:rPr>
              <w:t>117.59%</w:t>
            </w:r>
          </w:p>
        </w:tc>
      </w:tr>
      <w:tr w:rsidR="008D2112" w:rsidRPr="00302988" w:rsidTr="000B76E8">
        <w:trPr>
          <w:trHeight w:val="567"/>
        </w:trPr>
        <w:tc>
          <w:tcPr>
            <w:tcW w:w="3040"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left"/>
              <w:textAlignment w:val="center"/>
              <w:rPr>
                <w:rFonts w:ascii="仿宋_GB2312" w:hAnsi="仿宋" w:cs="宋体"/>
                <w:color w:val="000000"/>
                <w:sz w:val="24"/>
              </w:rPr>
            </w:pPr>
            <w:r w:rsidRPr="00302988">
              <w:rPr>
                <w:rFonts w:ascii="仿宋_GB2312" w:hAnsi="仿宋" w:cs="宋体" w:hint="eastAsia"/>
                <w:color w:val="333333"/>
                <w:kern w:val="0"/>
                <w:sz w:val="24"/>
              </w:rPr>
              <w:t>违法车辆拖移停车费</w:t>
            </w:r>
          </w:p>
        </w:tc>
        <w:tc>
          <w:tcPr>
            <w:tcW w:w="1864"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right"/>
              <w:rPr>
                <w:rFonts w:ascii="仿宋_GB2312" w:hAnsi="仿宋" w:cs="宋体"/>
                <w:color w:val="000000"/>
                <w:sz w:val="24"/>
              </w:rPr>
            </w:pPr>
            <w:r w:rsidRPr="00302988">
              <w:rPr>
                <w:rFonts w:ascii="仿宋_GB2312" w:hAnsi="仿宋" w:cs="宋体" w:hint="eastAsia"/>
                <w:color w:val="000000"/>
                <w:kern w:val="0"/>
                <w:sz w:val="24"/>
              </w:rPr>
              <w:t>250,000.00</w:t>
            </w:r>
          </w:p>
        </w:tc>
        <w:tc>
          <w:tcPr>
            <w:tcW w:w="1752"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right"/>
              <w:textAlignment w:val="center"/>
              <w:rPr>
                <w:rFonts w:ascii="仿宋_GB2312" w:hAnsi="仿宋" w:cs="宋体"/>
                <w:color w:val="000000"/>
                <w:kern w:val="0"/>
                <w:sz w:val="24"/>
              </w:rPr>
            </w:pPr>
            <w:r w:rsidRPr="00302988">
              <w:rPr>
                <w:rFonts w:ascii="仿宋_GB2312" w:hAnsi="仿宋" w:cs="宋体" w:hint="eastAsia"/>
                <w:color w:val="000000"/>
                <w:kern w:val="0"/>
                <w:sz w:val="24"/>
              </w:rPr>
              <w:t>220,000.00</w:t>
            </w:r>
          </w:p>
        </w:tc>
        <w:tc>
          <w:tcPr>
            <w:tcW w:w="1524"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right"/>
              <w:textAlignment w:val="center"/>
              <w:rPr>
                <w:rFonts w:ascii="仿宋_GB2312" w:hAnsi="仿宋" w:cs="宋体"/>
                <w:color w:val="000000"/>
                <w:kern w:val="0"/>
                <w:sz w:val="24"/>
              </w:rPr>
            </w:pPr>
            <w:r w:rsidRPr="00302988">
              <w:rPr>
                <w:rFonts w:ascii="仿宋_GB2312" w:hAnsi="仿宋" w:cs="宋体" w:hint="eastAsia"/>
                <w:color w:val="000000"/>
                <w:kern w:val="0"/>
                <w:sz w:val="24"/>
              </w:rPr>
              <w:t>88%</w:t>
            </w:r>
          </w:p>
        </w:tc>
      </w:tr>
      <w:tr w:rsidR="008D2112" w:rsidRPr="00302988" w:rsidTr="000B76E8">
        <w:trPr>
          <w:trHeight w:val="567"/>
        </w:trPr>
        <w:tc>
          <w:tcPr>
            <w:tcW w:w="3040"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left"/>
              <w:textAlignment w:val="center"/>
              <w:rPr>
                <w:rFonts w:ascii="仿宋_GB2312" w:hAnsi="仿宋" w:cs="宋体"/>
                <w:color w:val="333333"/>
                <w:kern w:val="0"/>
                <w:sz w:val="24"/>
              </w:rPr>
            </w:pPr>
            <w:r w:rsidRPr="00302988">
              <w:rPr>
                <w:rFonts w:ascii="仿宋_GB2312" w:hAnsi="仿宋" w:cs="宋体" w:hint="eastAsia"/>
                <w:color w:val="333333"/>
                <w:kern w:val="0"/>
                <w:sz w:val="24"/>
              </w:rPr>
              <w:t>合计</w:t>
            </w:r>
          </w:p>
        </w:tc>
        <w:tc>
          <w:tcPr>
            <w:tcW w:w="1864"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right"/>
              <w:rPr>
                <w:rFonts w:ascii="仿宋_GB2312" w:hAnsi="仿宋" w:cs="宋体"/>
                <w:color w:val="000000"/>
                <w:kern w:val="0"/>
                <w:sz w:val="24"/>
              </w:rPr>
            </w:pPr>
            <w:r w:rsidRPr="00302988">
              <w:rPr>
                <w:rFonts w:ascii="仿宋_GB2312" w:hAnsi="仿宋" w:cs="宋体" w:hint="eastAsia"/>
                <w:color w:val="000000"/>
                <w:kern w:val="0"/>
                <w:sz w:val="24"/>
              </w:rPr>
              <w:t>600,000.00</w:t>
            </w:r>
          </w:p>
        </w:tc>
        <w:tc>
          <w:tcPr>
            <w:tcW w:w="1752"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right"/>
              <w:textAlignment w:val="center"/>
              <w:rPr>
                <w:rFonts w:ascii="仿宋_GB2312" w:hAnsi="仿宋" w:cs="宋体"/>
                <w:color w:val="000000"/>
                <w:kern w:val="0"/>
                <w:sz w:val="24"/>
              </w:rPr>
            </w:pPr>
            <w:r w:rsidRPr="00302988">
              <w:rPr>
                <w:rFonts w:ascii="仿宋_GB2312" w:hAnsi="仿宋" w:cs="宋体" w:hint="eastAsia"/>
                <w:color w:val="000000"/>
                <w:kern w:val="0"/>
                <w:sz w:val="24"/>
              </w:rPr>
              <w:t>589,885.20</w:t>
            </w:r>
          </w:p>
        </w:tc>
        <w:tc>
          <w:tcPr>
            <w:tcW w:w="1524" w:type="dxa"/>
            <w:tcBorders>
              <w:top w:val="single" w:sz="4" w:space="0" w:color="000000"/>
              <w:left w:val="single" w:sz="4" w:space="0" w:color="000000"/>
              <w:bottom w:val="single" w:sz="4" w:space="0" w:color="000000"/>
              <w:right w:val="single" w:sz="4" w:space="0" w:color="000000"/>
            </w:tcBorders>
            <w:noWrap/>
            <w:vAlign w:val="center"/>
          </w:tcPr>
          <w:p w:rsidR="008D2112" w:rsidRPr="00302988" w:rsidRDefault="008D2112" w:rsidP="000B76E8">
            <w:pPr>
              <w:widowControl/>
              <w:jc w:val="right"/>
              <w:textAlignment w:val="center"/>
              <w:rPr>
                <w:rFonts w:ascii="仿宋_GB2312" w:hAnsi="仿宋" w:cs="宋体"/>
                <w:color w:val="000000"/>
                <w:kern w:val="0"/>
                <w:sz w:val="24"/>
              </w:rPr>
            </w:pPr>
          </w:p>
        </w:tc>
      </w:tr>
    </w:tbl>
    <w:p w:rsidR="00302988" w:rsidRDefault="008D2112" w:rsidP="00302988">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根据表中显示，市政设施维修项目的预算执行率超过100%，其他3项均未达到100%，预算执行率指标评分按照预算执行率和预算资金权重比例核算，指标分值2分，实际得分1.88分。</w:t>
      </w:r>
      <w:bookmarkStart w:id="29" w:name="_Toc88914788"/>
    </w:p>
    <w:p w:rsidR="008D2112" w:rsidRPr="00302988" w:rsidRDefault="008D2112" w:rsidP="00302988">
      <w:pPr>
        <w:adjustRightInd w:val="0"/>
        <w:snapToGrid w:val="0"/>
        <w:spacing w:line="360" w:lineRule="auto"/>
        <w:ind w:firstLineChars="200" w:firstLine="562"/>
        <w:rPr>
          <w:rFonts w:ascii="仿宋_GB2312" w:hAnsi="仿宋" w:cs="宋体"/>
          <w:b/>
          <w:sz w:val="28"/>
          <w:szCs w:val="28"/>
        </w:rPr>
      </w:pPr>
      <w:r w:rsidRPr="00302988">
        <w:rPr>
          <w:rFonts w:ascii="仿宋_GB2312" w:hAnsi="仿宋" w:hint="eastAsia"/>
          <w:b/>
          <w:sz w:val="28"/>
          <w:szCs w:val="28"/>
        </w:rPr>
        <w:t>2.6资金使用合规性</w:t>
      </w:r>
      <w:bookmarkEnd w:id="29"/>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消杀项目、公众责任险、市政设施维修项目审批流程符合东站管委会财务管理制度，属于五优车站精细化管理维护费预算；资金支付通过各分管领导审批；资金用途、专项名称与合同相符；不存在截留、挤占、挪用、虚列支出等情况。根据评分标准，此三个项目资金使用合规性指标分值12分，实际得分12分。</w:t>
      </w:r>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违法车辆拖移停车费、拖车费项目审批流程符合东站管委会财务管理制度，属于五优车站精细化管理维护费预算；资金支付通过各分管领导审批；资金用途、专项名称与合同相符。但是，2020年停车费项目预算资金拨付25万元，实际使用22万元，结余3万元。出租车通道运维管理项目和枢纽区域氛围美化及摆放项目专家费和评审</w:t>
      </w:r>
      <w:r w:rsidRPr="001836CB">
        <w:rPr>
          <w:rFonts w:ascii="仿宋_GB2312" w:hAnsi="仿宋" w:cs="宋体" w:hint="eastAsia"/>
          <w:sz w:val="28"/>
          <w:szCs w:val="28"/>
        </w:rPr>
        <w:lastRenderedPageBreak/>
        <w:t>费的8,800.00元原属上述项目专项预算，在五优车站精细化管理维护项目预算中列支，存在预算资金错位使用现象。该资金使用合规性扣3分。根据评分标准，资金使用合规性指标分值12分，实际得分9分。</w:t>
      </w:r>
    </w:p>
    <w:p w:rsidR="00302988" w:rsidRDefault="008D2112" w:rsidP="00302988">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根据评分标准和预算资金权重比例核算，资金使用合规性指标分值12分，实际得分10.75分。</w:t>
      </w:r>
      <w:bookmarkStart w:id="30" w:name="_Toc88914789"/>
    </w:p>
    <w:p w:rsidR="008D2112" w:rsidRPr="00302988" w:rsidRDefault="008D2112" w:rsidP="00302988">
      <w:pPr>
        <w:adjustRightInd w:val="0"/>
        <w:snapToGrid w:val="0"/>
        <w:spacing w:line="360" w:lineRule="auto"/>
        <w:ind w:firstLineChars="200" w:firstLine="562"/>
        <w:rPr>
          <w:rFonts w:ascii="仿宋_GB2312" w:hAnsi="仿宋" w:cs="宋体"/>
          <w:b/>
          <w:sz w:val="28"/>
          <w:szCs w:val="28"/>
        </w:rPr>
      </w:pPr>
      <w:r w:rsidRPr="00302988">
        <w:rPr>
          <w:rFonts w:ascii="仿宋_GB2312" w:hAnsi="仿宋" w:hint="eastAsia"/>
          <w:b/>
          <w:sz w:val="28"/>
          <w:szCs w:val="28"/>
        </w:rPr>
        <w:t>3</w:t>
      </w:r>
      <w:r w:rsidR="00302988" w:rsidRPr="00302988">
        <w:rPr>
          <w:rFonts w:ascii="仿宋_GB2312" w:hAnsi="仿宋" w:hint="eastAsia"/>
          <w:b/>
          <w:sz w:val="28"/>
          <w:szCs w:val="28"/>
        </w:rPr>
        <w:t>.</w:t>
      </w:r>
      <w:r w:rsidRPr="00302988">
        <w:rPr>
          <w:rFonts w:ascii="仿宋_GB2312" w:hAnsi="仿宋" w:hint="eastAsia"/>
          <w:b/>
          <w:sz w:val="28"/>
          <w:szCs w:val="28"/>
        </w:rPr>
        <w:t>满意度指标</w:t>
      </w:r>
      <w:bookmarkEnd w:id="30"/>
    </w:p>
    <w:p w:rsidR="008D2112" w:rsidRPr="001836CB" w:rsidRDefault="008D2112" w:rsidP="008D2112">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杭州东站枢纽“五优车站”爱国卫生运动服务项目（消杀）满意度评价调查问卷表分4季度发放，每季度发放100份。根据统计，第一季度发放100份，收回99份，有效问卷97份；第二季度发放100份，收回100份，有效问卷100份；第三季度发放100份，收回100份，有效问卷99份；第四季度发放100份，收回100份，有效问卷99份。通过每季度公众满意度问卷分别对候车厅、东站内部公共卫生间、大巴停车场、公交车停车场、地下车库、车站广场的蚊虫滋扰情况及车站的整体卫生状况的满意度进行打分，根据每张问卷10分的赋分值，统计出4次消杀有效问卷的平均分数为9.12分。</w:t>
      </w:r>
    </w:p>
    <w:p w:rsidR="00302988" w:rsidRDefault="008D2112" w:rsidP="00302988">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根据评分标准，满意度指标分值10分，实际得分9.12分。</w:t>
      </w:r>
      <w:bookmarkStart w:id="31" w:name="_Toc88914790"/>
    </w:p>
    <w:p w:rsidR="008D2112" w:rsidRPr="00302988" w:rsidRDefault="008D2112" w:rsidP="00302988">
      <w:pPr>
        <w:adjustRightInd w:val="0"/>
        <w:snapToGrid w:val="0"/>
        <w:spacing w:line="360" w:lineRule="auto"/>
        <w:ind w:firstLineChars="200" w:firstLine="562"/>
        <w:rPr>
          <w:rFonts w:ascii="仿宋_GB2312" w:hAnsi="仿宋" w:cs="宋体"/>
          <w:b/>
          <w:sz w:val="28"/>
          <w:szCs w:val="28"/>
        </w:rPr>
      </w:pPr>
      <w:r w:rsidRPr="00302988">
        <w:rPr>
          <w:rFonts w:ascii="仿宋_GB2312" w:hAnsi="仿宋" w:hint="eastAsia"/>
          <w:b/>
          <w:kern w:val="0"/>
          <w:sz w:val="28"/>
          <w:szCs w:val="28"/>
        </w:rPr>
        <w:t>三、主要经验及做法</w:t>
      </w:r>
      <w:bookmarkEnd w:id="31"/>
    </w:p>
    <w:p w:rsidR="00302988" w:rsidRDefault="008D2112" w:rsidP="00302988">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通过绩效评价掌握的资料信息，东站管委会在项目立项、财务管理和满意度方面均有值得借鉴的经验。</w:t>
      </w:r>
      <w:bookmarkStart w:id="32" w:name="_Toc88914791"/>
      <w:bookmarkStart w:id="33" w:name="_Toc88914390"/>
    </w:p>
    <w:p w:rsidR="008D2112" w:rsidRPr="00302988" w:rsidRDefault="008D2112" w:rsidP="00302988">
      <w:pPr>
        <w:adjustRightInd w:val="0"/>
        <w:snapToGrid w:val="0"/>
        <w:spacing w:line="360" w:lineRule="auto"/>
        <w:ind w:firstLineChars="200" w:firstLine="562"/>
        <w:rPr>
          <w:rFonts w:ascii="仿宋_GB2312" w:hAnsi="仿宋" w:cs="宋体"/>
          <w:b/>
          <w:sz w:val="28"/>
          <w:szCs w:val="28"/>
        </w:rPr>
      </w:pPr>
      <w:r w:rsidRPr="00302988">
        <w:rPr>
          <w:rFonts w:ascii="仿宋_GB2312" w:hAnsi="仿宋" w:hint="eastAsia"/>
          <w:b/>
          <w:sz w:val="28"/>
          <w:szCs w:val="28"/>
        </w:rPr>
        <w:t>（一）项目立项依据充分、流程合法合规</w:t>
      </w:r>
      <w:bookmarkEnd w:id="32"/>
      <w:bookmarkEnd w:id="33"/>
    </w:p>
    <w:p w:rsidR="00302988" w:rsidRDefault="008D2112" w:rsidP="00302988">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东站管委会预算各项目皆依据相关法律法、政策、发展规划以及部门职责制定,报备有关部门并获取批复文件，并根据实际情况充分考虑各方意见和需求，实施了科学合理的可行性研究。</w:t>
      </w:r>
      <w:bookmarkStart w:id="34" w:name="_Toc88914792"/>
      <w:bookmarkStart w:id="35" w:name="_Toc88914391"/>
    </w:p>
    <w:p w:rsidR="008D2112" w:rsidRPr="00302988" w:rsidRDefault="008D2112" w:rsidP="00302988">
      <w:pPr>
        <w:adjustRightInd w:val="0"/>
        <w:snapToGrid w:val="0"/>
        <w:spacing w:line="360" w:lineRule="auto"/>
        <w:ind w:firstLineChars="200" w:firstLine="562"/>
        <w:rPr>
          <w:rFonts w:ascii="仿宋_GB2312" w:hAnsi="仿宋" w:cs="宋体"/>
          <w:b/>
          <w:sz w:val="28"/>
          <w:szCs w:val="28"/>
        </w:rPr>
      </w:pPr>
      <w:r w:rsidRPr="00302988">
        <w:rPr>
          <w:rFonts w:ascii="仿宋_GB2312" w:hAnsi="仿宋" w:hint="eastAsia"/>
          <w:b/>
          <w:sz w:val="28"/>
          <w:szCs w:val="28"/>
        </w:rPr>
        <w:t>（二）对第三方机构工作进行多维度、多层次、全过程评价</w:t>
      </w:r>
      <w:bookmarkEnd w:id="34"/>
      <w:bookmarkEnd w:id="35"/>
    </w:p>
    <w:p w:rsidR="00302988" w:rsidRDefault="008D2112" w:rsidP="00302988">
      <w:pPr>
        <w:pStyle w:val="a8"/>
        <w:spacing w:line="360" w:lineRule="auto"/>
        <w:ind w:firstLineChars="175" w:firstLine="490"/>
        <w:rPr>
          <w:rFonts w:ascii="仿宋_GB2312" w:eastAsia="仿宋_GB2312" w:hAnsi="仿宋"/>
          <w:sz w:val="28"/>
          <w:szCs w:val="28"/>
        </w:rPr>
      </w:pPr>
      <w:r w:rsidRPr="001836CB">
        <w:rPr>
          <w:rFonts w:ascii="仿宋_GB2312" w:eastAsia="仿宋_GB2312" w:hAnsi="仿宋" w:cs="宋体" w:hint="eastAsia"/>
          <w:sz w:val="28"/>
          <w:szCs w:val="28"/>
        </w:rPr>
        <w:lastRenderedPageBreak/>
        <w:t>东站管委会对第三方机构工作建立了多维度、多层次、全过程的管理体系，例如消杀项目，从工作人员资格、设备、药械、施工计划与进度、服务范围、现场效果、资料台账、群众满意度等维度分多层次细化考量，做到评估标准细化、明确化、可量化；其次该项目实施过程是否规范性和实施效果是否良好的角度对第三方机构进行全过程管理；定期对消杀工作展开问卷调查，跟踪</w:t>
      </w:r>
      <w:r w:rsidRPr="001836CB">
        <w:rPr>
          <w:rFonts w:ascii="仿宋_GB2312" w:eastAsia="仿宋_GB2312" w:hAnsi="仿宋" w:hint="eastAsia"/>
          <w:sz w:val="28"/>
          <w:szCs w:val="28"/>
        </w:rPr>
        <w:t>项目的可持续性、落实项目真实效果。</w:t>
      </w:r>
      <w:bookmarkStart w:id="36" w:name="_Toc88914392"/>
      <w:bookmarkStart w:id="37" w:name="_Toc88914793"/>
    </w:p>
    <w:p w:rsidR="008D2112" w:rsidRPr="00302988" w:rsidRDefault="008D2112" w:rsidP="00302988">
      <w:pPr>
        <w:pStyle w:val="a8"/>
        <w:spacing w:line="360" w:lineRule="auto"/>
        <w:ind w:firstLineChars="175" w:firstLine="492"/>
        <w:rPr>
          <w:rFonts w:ascii="仿宋_GB2312" w:eastAsia="仿宋_GB2312" w:hAnsi="仿宋"/>
          <w:b/>
          <w:sz w:val="28"/>
          <w:szCs w:val="28"/>
        </w:rPr>
      </w:pPr>
      <w:r w:rsidRPr="00302988">
        <w:rPr>
          <w:rFonts w:ascii="仿宋_GB2312" w:eastAsia="仿宋_GB2312" w:hAnsi="仿宋" w:hint="eastAsia"/>
          <w:b/>
          <w:sz w:val="28"/>
          <w:szCs w:val="28"/>
        </w:rPr>
        <w:t>（三）资金利用更注重财政资金成本效益原则</w:t>
      </w:r>
      <w:bookmarkEnd w:id="36"/>
      <w:bookmarkEnd w:id="37"/>
    </w:p>
    <w:p w:rsidR="0001182F" w:rsidRDefault="008D2112" w:rsidP="0001182F">
      <w:pPr>
        <w:pStyle w:val="a8"/>
        <w:spacing w:line="360" w:lineRule="auto"/>
        <w:ind w:firstLineChars="175" w:firstLine="490"/>
        <w:rPr>
          <w:rFonts w:ascii="仿宋_GB2312" w:eastAsia="仿宋_GB2312" w:hAnsi="仿宋" w:cs="宋体"/>
          <w:color w:val="333333"/>
          <w:kern w:val="0"/>
          <w:sz w:val="28"/>
          <w:szCs w:val="28"/>
        </w:rPr>
      </w:pPr>
      <w:r w:rsidRPr="001836CB">
        <w:rPr>
          <w:rFonts w:ascii="仿宋_GB2312" w:eastAsia="仿宋_GB2312" w:hAnsi="仿宋" w:hint="eastAsia"/>
          <w:sz w:val="28"/>
          <w:szCs w:val="28"/>
        </w:rPr>
        <w:t>在租用停车场停放违章车辆拖移动、停车费用沟通中，</w:t>
      </w:r>
      <w:r w:rsidRPr="001836CB">
        <w:rPr>
          <w:rFonts w:ascii="仿宋_GB2312" w:eastAsia="仿宋_GB2312" w:hAnsi="仿宋" w:cs="宋体" w:hint="eastAsia"/>
          <w:color w:val="333333"/>
          <w:kern w:val="0"/>
          <w:sz w:val="28"/>
          <w:szCs w:val="28"/>
        </w:rPr>
        <w:t>与第三方机构制订以每辆车按小时计算停车费的基础上做出全天单价封顶、所有车辆按月费用2万元封顶等合同条款，在保证财政资金产出效益同时，有效地控制了项目成本。</w:t>
      </w:r>
      <w:bookmarkStart w:id="38" w:name="_Toc88914794"/>
    </w:p>
    <w:p w:rsidR="008D2112" w:rsidRPr="0001182F" w:rsidRDefault="008D2112" w:rsidP="0001182F">
      <w:pPr>
        <w:pStyle w:val="a8"/>
        <w:spacing w:line="360" w:lineRule="auto"/>
        <w:ind w:firstLineChars="175" w:firstLine="492"/>
        <w:rPr>
          <w:rFonts w:ascii="仿宋_GB2312" w:eastAsia="仿宋_GB2312" w:hAnsi="仿宋"/>
          <w:b/>
          <w:sz w:val="28"/>
          <w:szCs w:val="28"/>
        </w:rPr>
      </w:pPr>
      <w:r w:rsidRPr="0001182F">
        <w:rPr>
          <w:rFonts w:ascii="仿宋_GB2312" w:eastAsia="仿宋_GB2312" w:hAnsi="仿宋" w:hint="eastAsia"/>
          <w:b/>
          <w:sz w:val="28"/>
          <w:szCs w:val="28"/>
        </w:rPr>
        <w:t>四、主要问题分析</w:t>
      </w:r>
      <w:bookmarkEnd w:id="38"/>
    </w:p>
    <w:p w:rsidR="0001182F" w:rsidRDefault="008D2112" w:rsidP="0001182F">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在绩效评价过程中，评价组发现五优车站精细化管理维护费在实施中存在以下问题：</w:t>
      </w:r>
      <w:bookmarkStart w:id="39" w:name="_Toc88914394"/>
      <w:bookmarkStart w:id="40" w:name="_Toc88914795"/>
    </w:p>
    <w:p w:rsidR="008D2112" w:rsidRPr="0001182F" w:rsidRDefault="008D2112" w:rsidP="0001182F">
      <w:pPr>
        <w:adjustRightInd w:val="0"/>
        <w:snapToGrid w:val="0"/>
        <w:spacing w:line="360" w:lineRule="auto"/>
        <w:ind w:firstLineChars="200" w:firstLine="562"/>
        <w:rPr>
          <w:rFonts w:ascii="仿宋_GB2312" w:hAnsi="仿宋" w:cs="宋体"/>
          <w:b/>
          <w:sz w:val="28"/>
          <w:szCs w:val="28"/>
        </w:rPr>
      </w:pPr>
      <w:r w:rsidRPr="0001182F">
        <w:rPr>
          <w:rFonts w:ascii="仿宋_GB2312" w:hAnsi="仿宋" w:hint="eastAsia"/>
          <w:b/>
          <w:sz w:val="28"/>
          <w:szCs w:val="28"/>
        </w:rPr>
        <w:t>（一）部分季节消杀结果有待改进</w:t>
      </w:r>
      <w:bookmarkEnd w:id="39"/>
      <w:bookmarkEnd w:id="40"/>
    </w:p>
    <w:p w:rsidR="0001182F" w:rsidRDefault="008D2112" w:rsidP="0001182F">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根据杭州东站枢纽“五优车站”爱国卫生运动服务项目（消杀项目）满意度评价调查问卷调查结果显示，有高达25.06%的受访者反映在公共卫生间区域有少量蚊虫，尤其是第二季度消杀后仍有少量蚊虫。</w:t>
      </w:r>
      <w:bookmarkStart w:id="41" w:name="_Toc88914796"/>
      <w:bookmarkStart w:id="42" w:name="_Toc88914395"/>
    </w:p>
    <w:p w:rsidR="008D2112" w:rsidRPr="0001182F" w:rsidRDefault="008D2112" w:rsidP="0001182F">
      <w:pPr>
        <w:adjustRightInd w:val="0"/>
        <w:snapToGrid w:val="0"/>
        <w:spacing w:line="360" w:lineRule="auto"/>
        <w:ind w:firstLineChars="200" w:firstLine="562"/>
        <w:rPr>
          <w:rFonts w:ascii="仿宋_GB2312" w:hAnsi="仿宋" w:cs="宋体"/>
          <w:b/>
          <w:sz w:val="28"/>
          <w:szCs w:val="28"/>
        </w:rPr>
      </w:pPr>
      <w:r w:rsidRPr="0001182F">
        <w:rPr>
          <w:rFonts w:ascii="仿宋_GB2312" w:hAnsi="仿宋" w:hint="eastAsia"/>
          <w:b/>
          <w:sz w:val="28"/>
          <w:szCs w:val="28"/>
        </w:rPr>
        <w:t>（二）部分预算项目费用预计不足</w:t>
      </w:r>
      <w:bookmarkEnd w:id="41"/>
      <w:bookmarkEnd w:id="42"/>
    </w:p>
    <w:p w:rsidR="0001182F" w:rsidRDefault="008D2112" w:rsidP="0001182F">
      <w:pPr>
        <w:adjustRightInd w:val="0"/>
        <w:snapToGrid w:val="0"/>
        <w:spacing w:line="360" w:lineRule="auto"/>
        <w:ind w:firstLineChars="200" w:firstLine="560"/>
        <w:rPr>
          <w:rFonts w:ascii="仿宋_GB2312" w:hAnsi="仿宋" w:cs="宋体"/>
          <w:sz w:val="28"/>
          <w:szCs w:val="28"/>
        </w:rPr>
      </w:pPr>
      <w:r w:rsidRPr="001836CB">
        <w:rPr>
          <w:rFonts w:ascii="仿宋_GB2312" w:hAnsi="仿宋" w:cs="宋体" w:hint="eastAsia"/>
          <w:sz w:val="28"/>
          <w:szCs w:val="28"/>
        </w:rPr>
        <w:t>部分预算对业务支出估计不足，导致预算超支。市政维修项目没有预估工程招标代理费，工程监理、审计报告费，以及前期项目要在2020年支付的尾款，造成2020年市政设施维修项目资金超过预算申</w:t>
      </w:r>
      <w:r w:rsidRPr="001836CB">
        <w:rPr>
          <w:rFonts w:ascii="仿宋_GB2312" w:hAnsi="仿宋" w:cs="宋体" w:hint="eastAsia"/>
          <w:sz w:val="28"/>
          <w:szCs w:val="28"/>
        </w:rPr>
        <w:lastRenderedPageBreak/>
        <w:t>请资金26,385.20元的情况。</w:t>
      </w:r>
      <w:bookmarkStart w:id="43" w:name="_Toc88914396"/>
      <w:bookmarkStart w:id="44" w:name="_Toc88914797"/>
    </w:p>
    <w:p w:rsidR="008D2112" w:rsidRPr="0001182F" w:rsidRDefault="008D2112" w:rsidP="0001182F">
      <w:pPr>
        <w:adjustRightInd w:val="0"/>
        <w:snapToGrid w:val="0"/>
        <w:spacing w:line="360" w:lineRule="auto"/>
        <w:ind w:firstLineChars="200" w:firstLine="562"/>
        <w:rPr>
          <w:rFonts w:ascii="仿宋_GB2312" w:hAnsi="仿宋"/>
          <w:b/>
          <w:sz w:val="28"/>
          <w:szCs w:val="28"/>
        </w:rPr>
      </w:pPr>
      <w:r w:rsidRPr="0001182F">
        <w:rPr>
          <w:rFonts w:ascii="仿宋_GB2312" w:hAnsi="仿宋" w:hint="eastAsia"/>
          <w:b/>
          <w:sz w:val="28"/>
          <w:szCs w:val="28"/>
        </w:rPr>
        <w:t>（三）存在列支其他项目预算费用的情况</w:t>
      </w:r>
      <w:bookmarkEnd w:id="43"/>
      <w:bookmarkEnd w:id="44"/>
    </w:p>
    <w:p w:rsidR="0001182F" w:rsidRDefault="008D2112" w:rsidP="0001182F">
      <w:pPr>
        <w:widowControl/>
        <w:shd w:val="clear" w:color="auto" w:fill="FFFFFF"/>
        <w:spacing w:line="360" w:lineRule="auto"/>
        <w:ind w:firstLine="562"/>
        <w:rPr>
          <w:rFonts w:ascii="仿宋_GB2312" w:hAnsi="仿宋" w:cs="宋体"/>
          <w:sz w:val="28"/>
          <w:szCs w:val="28"/>
        </w:rPr>
      </w:pPr>
      <w:r w:rsidRPr="001836CB">
        <w:rPr>
          <w:rFonts w:ascii="仿宋_GB2312" w:hAnsi="仿宋" w:cs="宋体" w:hint="eastAsia"/>
          <w:sz w:val="28"/>
          <w:szCs w:val="28"/>
        </w:rPr>
        <w:t>出租车通道运维管理项目和枢纽区域氛围美化及摆放项目专家费和评审费的8,800.00元原属上述项目专项预算，因财政支付流程规定服务类采购专项资金只能支付到中标单位账户，因此上述费用在五优车站精细化管理维护项目预算中列支，存在预算资金错位使用现象。</w:t>
      </w:r>
      <w:bookmarkStart w:id="45" w:name="_Toc88914798"/>
    </w:p>
    <w:p w:rsidR="008D2112" w:rsidRPr="0001182F" w:rsidRDefault="008D2112" w:rsidP="0001182F">
      <w:pPr>
        <w:widowControl/>
        <w:shd w:val="clear" w:color="auto" w:fill="FFFFFF"/>
        <w:spacing w:line="360" w:lineRule="auto"/>
        <w:ind w:firstLine="562"/>
        <w:rPr>
          <w:rFonts w:ascii="仿宋_GB2312" w:hAnsi="仿宋" w:cs="宋体"/>
          <w:b/>
          <w:sz w:val="28"/>
          <w:szCs w:val="28"/>
        </w:rPr>
      </w:pPr>
      <w:r w:rsidRPr="0001182F">
        <w:rPr>
          <w:rFonts w:ascii="仿宋_GB2312" w:hAnsi="仿宋" w:hint="eastAsia"/>
          <w:b/>
          <w:kern w:val="0"/>
          <w:sz w:val="28"/>
          <w:szCs w:val="28"/>
        </w:rPr>
        <w:t>五、相关建议</w:t>
      </w:r>
      <w:bookmarkEnd w:id="45"/>
    </w:p>
    <w:p w:rsidR="008D2112" w:rsidRPr="001836CB" w:rsidRDefault="008D2112" w:rsidP="008D2112">
      <w:pPr>
        <w:adjustRightInd w:val="0"/>
        <w:snapToGrid w:val="0"/>
        <w:spacing w:line="360" w:lineRule="auto"/>
        <w:ind w:firstLineChars="200" w:firstLine="562"/>
        <w:rPr>
          <w:rFonts w:ascii="仿宋_GB2312" w:hAnsi="仿宋" w:cs="宋体"/>
          <w:sz w:val="28"/>
          <w:szCs w:val="28"/>
        </w:rPr>
      </w:pPr>
      <w:r w:rsidRPr="001836CB">
        <w:rPr>
          <w:rFonts w:ascii="仿宋_GB2312" w:hAnsi="仿宋" w:cs="宋体" w:hint="eastAsia"/>
          <w:b/>
          <w:sz w:val="28"/>
          <w:szCs w:val="28"/>
        </w:rPr>
        <w:t>（一）</w:t>
      </w:r>
      <w:r w:rsidRPr="001836CB">
        <w:rPr>
          <w:rFonts w:ascii="仿宋_GB2312" w:hAnsi="仿宋" w:cs="宋体" w:hint="eastAsia"/>
          <w:sz w:val="28"/>
          <w:szCs w:val="28"/>
        </w:rPr>
        <w:t xml:space="preserve">建议在气温较高的季节增加消杀次数、缩短消杀周期、提高药水浓度、扩大消杀范围等方式落实好消杀效果，合同和考核中更细化考核指标、提高考核标准，强化对如消杀等持续性较短项目的后续跟踪，对问卷调查中群众意见及时制定相应解决方案。 </w:t>
      </w:r>
    </w:p>
    <w:p w:rsidR="008D2112" w:rsidRPr="001836CB" w:rsidRDefault="008D2112" w:rsidP="008D2112">
      <w:pPr>
        <w:adjustRightInd w:val="0"/>
        <w:snapToGrid w:val="0"/>
        <w:spacing w:line="360" w:lineRule="auto"/>
        <w:ind w:firstLineChars="200" w:firstLine="562"/>
        <w:rPr>
          <w:rFonts w:ascii="仿宋_GB2312" w:hAnsi="仿宋" w:cs="宋体"/>
          <w:sz w:val="28"/>
          <w:szCs w:val="28"/>
        </w:rPr>
      </w:pPr>
      <w:r w:rsidRPr="001836CB">
        <w:rPr>
          <w:rFonts w:ascii="仿宋_GB2312" w:hAnsi="仿宋" w:cs="宋体" w:hint="eastAsia"/>
          <w:b/>
          <w:sz w:val="28"/>
          <w:szCs w:val="28"/>
        </w:rPr>
        <w:t>（二）</w:t>
      </w:r>
      <w:r w:rsidRPr="001836CB">
        <w:rPr>
          <w:rFonts w:ascii="仿宋_GB2312" w:hAnsi="仿宋" w:cs="宋体" w:hint="eastAsia"/>
          <w:sz w:val="28"/>
          <w:szCs w:val="28"/>
        </w:rPr>
        <w:t xml:space="preserve"> 编制预算时充分考虑各项支出，充分考虑项目各个环节的工作，如在编制预算时应考虑工程施工合同外的招标委托费、监理费、审计费和以前年度未支付的尾款，做到项目支出按预算执行、资金支付按合同执行。</w:t>
      </w:r>
    </w:p>
    <w:p w:rsidR="008D2112" w:rsidRPr="001836CB" w:rsidRDefault="008D2112" w:rsidP="008D2112">
      <w:pPr>
        <w:adjustRightInd w:val="0"/>
        <w:snapToGrid w:val="0"/>
        <w:spacing w:line="360" w:lineRule="auto"/>
        <w:ind w:firstLineChars="200" w:firstLine="562"/>
        <w:rPr>
          <w:rFonts w:ascii="仿宋_GB2312" w:hAnsi="仿宋" w:cs="宋体"/>
          <w:sz w:val="28"/>
          <w:szCs w:val="28"/>
        </w:rPr>
      </w:pPr>
      <w:r w:rsidRPr="001836CB">
        <w:rPr>
          <w:rFonts w:ascii="仿宋_GB2312" w:hAnsi="仿宋" w:cs="宋体" w:hint="eastAsia"/>
          <w:b/>
          <w:sz w:val="28"/>
          <w:szCs w:val="28"/>
        </w:rPr>
        <w:t>（三）</w:t>
      </w:r>
      <w:r w:rsidRPr="001836CB">
        <w:rPr>
          <w:rFonts w:ascii="仿宋_GB2312" w:hAnsi="仿宋" w:cs="宋体" w:hint="eastAsia"/>
          <w:sz w:val="28"/>
          <w:szCs w:val="28"/>
        </w:rPr>
        <w:t>严格规范项目资金的列支，制定严格的项目资金使用内控制度，并监督检查各期项目资金支付情况，做到专款专用。考虑到支付流程内控的要求，对特殊费用，例如专家费、评审费等，可以在经常性预算中预留。</w:t>
      </w:r>
    </w:p>
    <w:p w:rsidR="008D2112" w:rsidRPr="008D2112" w:rsidRDefault="008D2112" w:rsidP="008D2112">
      <w:pPr>
        <w:jc w:val="center"/>
        <w:rPr>
          <w:rFonts w:asciiTheme="minorEastAsia" w:eastAsiaTheme="minorEastAsia" w:hAnsiTheme="minorEastAsia" w:cs="Arial"/>
          <w:b/>
          <w:bCs/>
          <w:sz w:val="36"/>
          <w:szCs w:val="36"/>
        </w:rPr>
      </w:pPr>
    </w:p>
    <w:sectPr w:rsidR="008D2112" w:rsidRPr="008D2112" w:rsidSect="005C55F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08D" w:rsidRDefault="00F3408D" w:rsidP="005C55FC">
      <w:r>
        <w:separator/>
      </w:r>
    </w:p>
  </w:endnote>
  <w:endnote w:type="continuationSeparator" w:id="1">
    <w:p w:rsidR="00F3408D" w:rsidRDefault="00F3408D" w:rsidP="005C5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0807"/>
    </w:sdtPr>
    <w:sdtEndPr>
      <w:rPr>
        <w:rFonts w:asciiTheme="minorEastAsia" w:eastAsiaTheme="minorEastAsia" w:hAnsiTheme="minorEastAsia"/>
      </w:rPr>
    </w:sdtEndPr>
    <w:sdtContent>
      <w:p w:rsidR="005C55FC" w:rsidRDefault="003C4D7A">
        <w:pPr>
          <w:pStyle w:val="a3"/>
          <w:jc w:val="center"/>
          <w:rPr>
            <w:rFonts w:asciiTheme="minorEastAsia" w:eastAsiaTheme="minorEastAsia" w:hAnsiTheme="minorEastAsia"/>
          </w:rPr>
        </w:pPr>
        <w:r>
          <w:rPr>
            <w:rFonts w:asciiTheme="minorEastAsia" w:eastAsiaTheme="minorEastAsia" w:hAnsiTheme="minorEastAsia"/>
          </w:rPr>
          <w:t>第</w:t>
        </w:r>
        <w:r w:rsidR="001F03FF">
          <w:rPr>
            <w:rFonts w:asciiTheme="minorEastAsia" w:eastAsiaTheme="minorEastAsia" w:hAnsiTheme="minorEastAsia"/>
          </w:rPr>
          <w:fldChar w:fldCharType="begin"/>
        </w:r>
        <w:r>
          <w:rPr>
            <w:rFonts w:asciiTheme="minorEastAsia" w:eastAsiaTheme="minorEastAsia" w:hAnsiTheme="minorEastAsia"/>
          </w:rPr>
          <w:instrText>PAGE   \* MERGEFORMAT</w:instrText>
        </w:r>
        <w:r w:rsidR="001F03FF">
          <w:rPr>
            <w:rFonts w:asciiTheme="minorEastAsia" w:eastAsiaTheme="minorEastAsia" w:hAnsiTheme="minorEastAsia"/>
          </w:rPr>
          <w:fldChar w:fldCharType="separate"/>
        </w:r>
        <w:r w:rsidR="00384EB3" w:rsidRPr="00384EB3">
          <w:rPr>
            <w:rFonts w:asciiTheme="minorEastAsia" w:eastAsiaTheme="minorEastAsia" w:hAnsiTheme="minorEastAsia"/>
            <w:noProof/>
            <w:lang w:val="zh-CN"/>
          </w:rPr>
          <w:t>4</w:t>
        </w:r>
        <w:r w:rsidR="001F03FF">
          <w:rPr>
            <w:rFonts w:asciiTheme="minorEastAsia" w:eastAsiaTheme="minorEastAsia" w:hAnsiTheme="minorEastAsia"/>
          </w:rPr>
          <w:fldChar w:fldCharType="end"/>
        </w:r>
        <w:r>
          <w:rPr>
            <w:rFonts w:asciiTheme="minorEastAsia" w:eastAsiaTheme="minorEastAsia" w:hAnsiTheme="minorEastAsia" w:hint="eastAsia"/>
          </w:rPr>
          <w:t xml:space="preserve"> 页 共 页</w:t>
        </w:r>
      </w:p>
    </w:sdtContent>
  </w:sdt>
  <w:p w:rsidR="005C55FC" w:rsidRDefault="005C55F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08D" w:rsidRDefault="00F3408D" w:rsidP="005C55FC">
      <w:r>
        <w:separator/>
      </w:r>
    </w:p>
  </w:footnote>
  <w:footnote w:type="continuationSeparator" w:id="1">
    <w:p w:rsidR="00F3408D" w:rsidRDefault="00F3408D" w:rsidP="005C5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784B"/>
    <w:multiLevelType w:val="multilevel"/>
    <w:tmpl w:val="19B2784B"/>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55FC"/>
    <w:rsid w:val="0001182F"/>
    <w:rsid w:val="001836CB"/>
    <w:rsid w:val="001F03FF"/>
    <w:rsid w:val="00302988"/>
    <w:rsid w:val="00384EB3"/>
    <w:rsid w:val="003C4D7A"/>
    <w:rsid w:val="004079FE"/>
    <w:rsid w:val="00574691"/>
    <w:rsid w:val="005C55FC"/>
    <w:rsid w:val="007D1608"/>
    <w:rsid w:val="008D2112"/>
    <w:rsid w:val="008E54DE"/>
    <w:rsid w:val="00900D43"/>
    <w:rsid w:val="00A23DAA"/>
    <w:rsid w:val="00AC5814"/>
    <w:rsid w:val="00C66063"/>
    <w:rsid w:val="00F3408D"/>
    <w:rsid w:val="00FF5E66"/>
    <w:rsid w:val="11A824A9"/>
    <w:rsid w:val="49F71F8D"/>
    <w:rsid w:val="7D2517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5FC"/>
    <w:pPr>
      <w:widowControl w:val="0"/>
      <w:jc w:val="both"/>
    </w:pPr>
    <w:rPr>
      <w:rFonts w:ascii="Calibri" w:eastAsia="仿宋_GB2312" w:hAnsi="Calibri"/>
      <w:kern w:val="2"/>
      <w:sz w:val="32"/>
      <w:szCs w:val="24"/>
    </w:rPr>
  </w:style>
  <w:style w:type="paragraph" w:styleId="1">
    <w:name w:val="heading 1"/>
    <w:basedOn w:val="a"/>
    <w:next w:val="a"/>
    <w:link w:val="1Char"/>
    <w:qFormat/>
    <w:rsid w:val="008D2112"/>
    <w:pPr>
      <w:keepNext/>
      <w:keepLines/>
      <w:spacing w:before="400" w:after="400" w:line="360" w:lineRule="auto"/>
      <w:outlineLvl w:val="0"/>
    </w:pPr>
    <w:rPr>
      <w:rFonts w:eastAsia="仿宋"/>
      <w:b/>
      <w:bCs/>
      <w:kern w:val="44"/>
      <w:sz w:val="28"/>
      <w:szCs w:val="44"/>
    </w:rPr>
  </w:style>
  <w:style w:type="paragraph" w:styleId="2">
    <w:name w:val="heading 2"/>
    <w:basedOn w:val="a"/>
    <w:next w:val="a"/>
    <w:link w:val="2Char"/>
    <w:unhideWhenUsed/>
    <w:qFormat/>
    <w:rsid w:val="008D2112"/>
    <w:pPr>
      <w:keepNext/>
      <w:keepLines/>
      <w:spacing w:before="300" w:after="300" w:line="360" w:lineRule="auto"/>
      <w:outlineLvl w:val="1"/>
    </w:pPr>
    <w:rPr>
      <w:rFonts w:asciiTheme="majorHAnsi" w:eastAsia="仿宋" w:hAnsiTheme="majorHAnsi" w:cstheme="majorBidi"/>
      <w:b/>
      <w:bCs/>
      <w:sz w:val="28"/>
      <w:szCs w:val="32"/>
    </w:rPr>
  </w:style>
  <w:style w:type="paragraph" w:styleId="3">
    <w:name w:val="heading 3"/>
    <w:basedOn w:val="a"/>
    <w:next w:val="a"/>
    <w:link w:val="3Char"/>
    <w:unhideWhenUsed/>
    <w:qFormat/>
    <w:rsid w:val="008D2112"/>
    <w:pPr>
      <w:keepNext/>
      <w:keepLines/>
      <w:spacing w:before="260" w:after="260" w:line="360" w:lineRule="auto"/>
      <w:outlineLvl w:val="2"/>
    </w:pPr>
    <w:rPr>
      <w:rFonts w:eastAsia="仿宋"/>
      <w:b/>
      <w:bCs/>
      <w:sz w:val="28"/>
      <w:szCs w:val="32"/>
    </w:rPr>
  </w:style>
  <w:style w:type="paragraph" w:styleId="4">
    <w:name w:val="heading 4"/>
    <w:basedOn w:val="a"/>
    <w:next w:val="a"/>
    <w:link w:val="4Char"/>
    <w:unhideWhenUsed/>
    <w:qFormat/>
    <w:rsid w:val="008D2112"/>
    <w:pPr>
      <w:keepNext/>
      <w:keepLines/>
      <w:spacing w:before="200" w:after="200" w:line="360" w:lineRule="auto"/>
      <w:outlineLvl w:val="3"/>
    </w:pPr>
    <w:rPr>
      <w:rFonts w:asciiTheme="majorHAnsi" w:eastAsia="仿宋"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5C55FC"/>
    <w:pPr>
      <w:tabs>
        <w:tab w:val="center" w:pos="4153"/>
        <w:tab w:val="right" w:pos="8306"/>
      </w:tabs>
      <w:snapToGrid w:val="0"/>
      <w:jc w:val="left"/>
    </w:pPr>
    <w:rPr>
      <w:sz w:val="18"/>
      <w:szCs w:val="18"/>
    </w:rPr>
  </w:style>
  <w:style w:type="paragraph" w:styleId="a4">
    <w:name w:val="header"/>
    <w:basedOn w:val="a"/>
    <w:uiPriority w:val="99"/>
    <w:unhideWhenUsed/>
    <w:qFormat/>
    <w:rsid w:val="005C55F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5C5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C55FC"/>
    <w:pPr>
      <w:ind w:firstLineChars="200" w:firstLine="420"/>
    </w:pPr>
  </w:style>
  <w:style w:type="paragraph" w:customStyle="1" w:styleId="a7">
    <w:name w:val="报告正文"/>
    <w:basedOn w:val="a"/>
    <w:next w:val="a"/>
    <w:qFormat/>
    <w:rsid w:val="005C55FC"/>
    <w:pPr>
      <w:spacing w:line="560" w:lineRule="exact"/>
      <w:ind w:firstLineChars="200" w:firstLine="200"/>
    </w:pPr>
    <w:rPr>
      <w:rFonts w:ascii="宋体" w:eastAsia="仿宋" w:hAnsi="宋体"/>
      <w:kern w:val="0"/>
      <w:sz w:val="28"/>
      <w:szCs w:val="28"/>
    </w:rPr>
  </w:style>
  <w:style w:type="paragraph" w:styleId="a8">
    <w:name w:val="Normal Indent"/>
    <w:basedOn w:val="a"/>
    <w:unhideWhenUsed/>
    <w:qFormat/>
    <w:rsid w:val="008E54DE"/>
    <w:pPr>
      <w:ind w:firstLineChars="200" w:firstLine="420"/>
    </w:pPr>
    <w:rPr>
      <w:rFonts w:eastAsia="宋体"/>
      <w:sz w:val="21"/>
      <w:szCs w:val="22"/>
    </w:rPr>
  </w:style>
  <w:style w:type="character" w:customStyle="1" w:styleId="1Char">
    <w:name w:val="标题 1 Char"/>
    <w:basedOn w:val="a0"/>
    <w:link w:val="1"/>
    <w:qFormat/>
    <w:rsid w:val="008D2112"/>
    <w:rPr>
      <w:rFonts w:ascii="Calibri" w:eastAsia="仿宋" w:hAnsi="Calibri"/>
      <w:b/>
      <w:bCs/>
      <w:kern w:val="44"/>
      <w:sz w:val="28"/>
      <w:szCs w:val="44"/>
    </w:rPr>
  </w:style>
  <w:style w:type="character" w:customStyle="1" w:styleId="2Char">
    <w:name w:val="标题 2 Char"/>
    <w:basedOn w:val="a0"/>
    <w:link w:val="2"/>
    <w:qFormat/>
    <w:rsid w:val="008D2112"/>
    <w:rPr>
      <w:rFonts w:asciiTheme="majorHAnsi" w:eastAsia="仿宋" w:hAnsiTheme="majorHAnsi" w:cstheme="majorBidi"/>
      <w:b/>
      <w:bCs/>
      <w:kern w:val="2"/>
      <w:sz w:val="28"/>
      <w:szCs w:val="32"/>
    </w:rPr>
  </w:style>
  <w:style w:type="character" w:customStyle="1" w:styleId="3Char">
    <w:name w:val="标题 3 Char"/>
    <w:basedOn w:val="a0"/>
    <w:link w:val="3"/>
    <w:qFormat/>
    <w:rsid w:val="008D2112"/>
    <w:rPr>
      <w:rFonts w:ascii="Calibri" w:eastAsia="仿宋" w:hAnsi="Calibri"/>
      <w:b/>
      <w:bCs/>
      <w:kern w:val="2"/>
      <w:sz w:val="28"/>
      <w:szCs w:val="32"/>
    </w:rPr>
  </w:style>
  <w:style w:type="character" w:customStyle="1" w:styleId="4Char">
    <w:name w:val="标题 4 Char"/>
    <w:basedOn w:val="a0"/>
    <w:link w:val="4"/>
    <w:qFormat/>
    <w:rsid w:val="008D2112"/>
    <w:rPr>
      <w:rFonts w:asciiTheme="majorHAnsi" w:eastAsia="仿宋"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2119</Words>
  <Characters>12079</Characters>
  <Application>Microsoft Office Word</Application>
  <DocSecurity>0</DocSecurity>
  <Lines>100</Lines>
  <Paragraphs>28</Paragraphs>
  <ScaleCrop>false</ScaleCrop>
  <Company>Lenovo</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8</cp:revision>
  <cp:lastPrinted>2021-12-23T01:55:00Z</cp:lastPrinted>
  <dcterms:created xsi:type="dcterms:W3CDTF">2014-10-29T12:08:00Z</dcterms:created>
  <dcterms:modified xsi:type="dcterms:W3CDTF">2021-12-23T01:58:00Z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