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jc w:val="both"/>
        <w:rPr>
          <w:rFonts w:hint="default" w:ascii="仿宋_GB2312" w:hAnsi="仿宋_GB2312" w:eastAsia="黑体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表</w:t>
      </w:r>
      <w:r>
        <w:rPr>
          <w:rFonts w:hint="eastAsia" w:ascii="黑体" w:hAnsi="黑体" w:eastAsia="黑体" w:cs="黑体"/>
          <w:sz w:val="30"/>
          <w:szCs w:val="30"/>
        </w:rPr>
        <w:t>：杭州市上城区20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04月02日至04月08日</w:t>
      </w:r>
      <w:r>
        <w:rPr>
          <w:rFonts w:hint="eastAsia" w:ascii="黑体" w:hAnsi="黑体" w:eastAsia="黑体" w:cs="黑体"/>
          <w:sz w:val="30"/>
          <w:szCs w:val="30"/>
        </w:rPr>
        <w:t>危险化学品经营许可证发证情况表</w:t>
      </w:r>
    </w:p>
    <w:tbl>
      <w:tblPr>
        <w:tblStyle w:val="2"/>
        <w:tblpPr w:leftFromText="180" w:rightFromText="180" w:vertAnchor="text" w:horzAnchor="page" w:tblpX="920" w:tblpY="551"/>
        <w:tblOverlap w:val="never"/>
        <w:tblW w:w="149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2433"/>
        <w:gridCol w:w="691"/>
        <w:gridCol w:w="6290"/>
        <w:gridCol w:w="2515"/>
        <w:gridCol w:w="1485"/>
        <w:gridCol w:w="525"/>
        <w:gridCol w:w="5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代表人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申请许可经营范围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许可证号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有效期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杭州蓝得进出口有限公司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江红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不带储存经营危险化学品：乙酸乙酯、乙醇[无水]、二氯甲烷、甲醇、乙苯、甲苯、四氢呋喃、N,N-二甲基甲酰胺、4-氯甲苯、石油醚、盐酸、原甲酸三甲酯、原甲酸三乙酯、原乙酸三甲酯、壬烷及其异构体。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浙杭 (上) 安经字 [2021] 01000040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2021-04-02至2024-04-01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首次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7F96"/>
    <w:rsid w:val="075D6833"/>
    <w:rsid w:val="31051A3C"/>
    <w:rsid w:val="37227A3A"/>
    <w:rsid w:val="540A7F96"/>
    <w:rsid w:val="557904E2"/>
    <w:rsid w:val="5DB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2020-09-07T08:59:00Z</dcterms:created>
  <dc:creator>&amp;#x738B;&amp;#x6D9B;</dc:creator>
  <cp:lastModifiedBy>&amp;#x6731;&amp;#x73B2;&amp;#x660E;</cp:lastModifiedBy>
  <dcterms:modified xsi:type="dcterms:W3CDTF">2021-04-12T01:34:07Z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